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23" w:rsidRPr="006963AC" w:rsidRDefault="00F45C23">
      <w:pPr>
        <w:rPr>
          <w:rFonts w:ascii="Arial" w:hAnsi="Arial" w:cs="Arial"/>
          <w:sz w:val="24"/>
          <w:szCs w:val="24"/>
        </w:rPr>
      </w:pPr>
    </w:p>
    <w:p w:rsidR="00F45C23" w:rsidRPr="006963AC" w:rsidRDefault="00F45C23">
      <w:pPr>
        <w:rPr>
          <w:rFonts w:ascii="Arial" w:hAnsi="Arial" w:cs="Arial"/>
          <w:sz w:val="24"/>
          <w:szCs w:val="24"/>
        </w:rPr>
      </w:pPr>
    </w:p>
    <w:p w:rsidR="00F45C23" w:rsidRPr="006963AC" w:rsidRDefault="00B37E07" w:rsidP="00534A5F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6963AC">
        <w:rPr>
          <w:rFonts w:ascii="Arial" w:hAnsi="Arial" w:cs="Arial"/>
          <w:b/>
          <w:color w:val="00B050"/>
          <w:sz w:val="36"/>
          <w:szCs w:val="36"/>
        </w:rPr>
        <w:t>Gender Pay Gap Reporting</w:t>
      </w:r>
      <w:r w:rsidR="004A153C">
        <w:rPr>
          <w:rFonts w:ascii="Arial" w:hAnsi="Arial" w:cs="Arial"/>
          <w:b/>
          <w:color w:val="00B050"/>
          <w:sz w:val="36"/>
          <w:szCs w:val="36"/>
        </w:rPr>
        <w:t xml:space="preserve"> 2019</w:t>
      </w:r>
    </w:p>
    <w:p w:rsidR="006963AC" w:rsidRDefault="006963AC" w:rsidP="00696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963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gether, we are </w:t>
      </w:r>
      <w:r w:rsidRPr="006963AC">
        <w:rPr>
          <w:rFonts w:ascii="Arial" w:hAnsi="Arial" w:cs="Arial"/>
          <w:sz w:val="24"/>
          <w:szCs w:val="24"/>
        </w:rPr>
        <w:t>committed to equality of opportunity</w:t>
      </w:r>
      <w:r>
        <w:rPr>
          <w:rFonts w:ascii="Arial" w:hAnsi="Arial" w:cs="Arial"/>
          <w:sz w:val="24"/>
          <w:szCs w:val="24"/>
        </w:rPr>
        <w:t xml:space="preserve"> throughout the Trust</w:t>
      </w:r>
      <w:r w:rsidRPr="006963AC">
        <w:rPr>
          <w:rFonts w:ascii="Arial" w:hAnsi="Arial" w:cs="Arial"/>
          <w:sz w:val="24"/>
          <w:szCs w:val="24"/>
        </w:rPr>
        <w:t xml:space="preserve">. </w:t>
      </w:r>
    </w:p>
    <w:p w:rsidR="006963AC" w:rsidRPr="006C487E" w:rsidRDefault="006963AC" w:rsidP="006C487E">
      <w:pPr>
        <w:jc w:val="center"/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>With</w:t>
      </w:r>
      <w:r w:rsidR="00A2451D">
        <w:rPr>
          <w:rFonts w:ascii="Arial" w:hAnsi="Arial" w:cs="Arial"/>
          <w:sz w:val="24"/>
          <w:szCs w:val="24"/>
        </w:rPr>
        <w:t xml:space="preserve"> 80</w:t>
      </w:r>
      <w:r w:rsidRPr="006963AC">
        <w:rPr>
          <w:rFonts w:ascii="Arial" w:hAnsi="Arial" w:cs="Arial"/>
          <w:sz w:val="24"/>
          <w:szCs w:val="24"/>
        </w:rPr>
        <w:t>% of our workforce being female, we are especially committed to ensuring there is gender pay equality.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6963AC" w:rsidRPr="006963AC" w:rsidTr="006C487E">
        <w:trPr>
          <w:trHeight w:val="2031"/>
        </w:trPr>
        <w:tc>
          <w:tcPr>
            <w:tcW w:w="4629" w:type="dxa"/>
            <w:vAlign w:val="center"/>
          </w:tcPr>
          <w:p w:rsidR="006963AC" w:rsidRPr="006963AC" w:rsidRDefault="006963AC" w:rsidP="006963A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963A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75CE1B" wp14:editId="3270BE45">
                  <wp:extent cx="644979" cy="1047750"/>
                  <wp:effectExtent l="0" t="0" r="3175" b="0"/>
                  <wp:docPr id="3" name="Picture 3" descr="C:\Users\nick.grubb\AppData\Local\Microsoft\Windows\Temporary Internet Files\Content.IE5\5WFDK2B8\1352862601549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k.grubb\AppData\Local\Microsoft\Windows\Temporary Internet Files\Content.IE5\5WFDK2B8\1352862601549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57658" cy="106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vAlign w:val="center"/>
          </w:tcPr>
          <w:p w:rsidR="006963AC" w:rsidRPr="006963AC" w:rsidRDefault="006963AC" w:rsidP="006963A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963A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403C74" wp14:editId="7D5BEA61">
                  <wp:extent cx="771525" cy="828675"/>
                  <wp:effectExtent l="0" t="0" r="9525" b="9525"/>
                  <wp:docPr id="4" name="Picture 4" descr="C:\Users\nick.grubb\AppData\Local\Microsoft\Windows\Temporary Internet Files\Content.IE5\1TMFQLDG\male-symbol-117189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k.grubb\AppData\Local\Microsoft\Windows\Temporary Internet Files\Content.IE5\1TMFQLDG\male-symbol-117189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3AC" w:rsidRPr="006963AC" w:rsidTr="006C487E">
        <w:trPr>
          <w:trHeight w:val="700"/>
        </w:trPr>
        <w:tc>
          <w:tcPr>
            <w:tcW w:w="4629" w:type="dxa"/>
            <w:vAlign w:val="center"/>
          </w:tcPr>
          <w:p w:rsidR="006963AC" w:rsidRPr="006963AC" w:rsidRDefault="00A2451D" w:rsidP="006C487E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80</w:t>
            </w:r>
            <w:r w:rsidR="006C487E">
              <w:rPr>
                <w:rFonts w:ascii="Arial" w:hAnsi="Arial" w:cs="Arial"/>
                <w:b/>
                <w:color w:val="00B050"/>
                <w:sz w:val="24"/>
                <w:szCs w:val="24"/>
              </w:rPr>
              <w:t>% f</w:t>
            </w:r>
            <w:r w:rsidR="006963AC" w:rsidRPr="006963A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emale </w:t>
            </w:r>
            <w:r w:rsidR="006C487E">
              <w:rPr>
                <w:rFonts w:ascii="Arial" w:hAnsi="Arial" w:cs="Arial"/>
                <w:b/>
                <w:color w:val="00B050"/>
                <w:sz w:val="24"/>
                <w:szCs w:val="24"/>
              </w:rPr>
              <w:t>employees</w:t>
            </w:r>
          </w:p>
        </w:tc>
        <w:tc>
          <w:tcPr>
            <w:tcW w:w="4629" w:type="dxa"/>
            <w:vAlign w:val="center"/>
          </w:tcPr>
          <w:p w:rsidR="006963AC" w:rsidRPr="006963AC" w:rsidRDefault="006C487E" w:rsidP="00A2451D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A2451D"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% m</w:t>
            </w:r>
            <w:r w:rsidR="006963A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ale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employees</w:t>
            </w:r>
          </w:p>
        </w:tc>
      </w:tr>
    </w:tbl>
    <w:p w:rsidR="00F75E27" w:rsidRPr="006963AC" w:rsidRDefault="00F75E27" w:rsidP="0060666D">
      <w:pPr>
        <w:rPr>
          <w:rFonts w:ascii="Arial" w:hAnsi="Arial" w:cs="Arial"/>
          <w:sz w:val="24"/>
          <w:szCs w:val="24"/>
        </w:rPr>
      </w:pPr>
    </w:p>
    <w:p w:rsidR="006963AC" w:rsidRPr="0060666D" w:rsidRDefault="006963AC" w:rsidP="0060666D">
      <w:pPr>
        <w:rPr>
          <w:rFonts w:ascii="Arial" w:hAnsi="Arial" w:cs="Arial"/>
          <w:b/>
          <w:color w:val="00B050"/>
          <w:sz w:val="24"/>
          <w:szCs w:val="24"/>
        </w:rPr>
      </w:pPr>
      <w:r w:rsidRPr="0060666D">
        <w:rPr>
          <w:rFonts w:ascii="Arial" w:hAnsi="Arial" w:cs="Arial"/>
          <w:b/>
          <w:color w:val="00B050"/>
          <w:sz w:val="24"/>
          <w:szCs w:val="24"/>
        </w:rPr>
        <w:t>What is the Gender Pay Gap?</w:t>
      </w:r>
    </w:p>
    <w:p w:rsidR="006963AC" w:rsidRP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The Gender Pay Gap is defined as the difference between the </w:t>
      </w:r>
      <w:r w:rsidRPr="006963AC">
        <w:rPr>
          <w:rFonts w:ascii="Arial" w:hAnsi="Arial" w:cs="Arial"/>
          <w:b/>
          <w:sz w:val="24"/>
          <w:szCs w:val="24"/>
        </w:rPr>
        <w:t>mean</w:t>
      </w:r>
      <w:r w:rsidRPr="006963AC">
        <w:rPr>
          <w:rFonts w:ascii="Arial" w:hAnsi="Arial" w:cs="Arial"/>
          <w:sz w:val="24"/>
          <w:szCs w:val="24"/>
        </w:rPr>
        <w:t xml:space="preserve"> (average) or </w:t>
      </w:r>
      <w:r w:rsidRPr="006963AC">
        <w:rPr>
          <w:rFonts w:ascii="Arial" w:hAnsi="Arial" w:cs="Arial"/>
          <w:b/>
          <w:sz w:val="24"/>
          <w:szCs w:val="24"/>
        </w:rPr>
        <w:t>median</w:t>
      </w:r>
      <w:r w:rsidRPr="006963AC">
        <w:rPr>
          <w:rFonts w:ascii="Arial" w:hAnsi="Arial" w:cs="Arial"/>
          <w:sz w:val="24"/>
          <w:szCs w:val="24"/>
        </w:rPr>
        <w:t xml:space="preserve"> (mid-point) hourly rate of pay for men and women.</w:t>
      </w:r>
    </w:p>
    <w:p w:rsidR="006963AC" w:rsidRP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The </w:t>
      </w:r>
      <w:r w:rsidRPr="006963AC">
        <w:rPr>
          <w:rFonts w:ascii="Arial" w:hAnsi="Arial" w:cs="Arial"/>
          <w:b/>
          <w:sz w:val="24"/>
          <w:szCs w:val="24"/>
        </w:rPr>
        <w:t>mean</w:t>
      </w:r>
      <w:r w:rsidRPr="006963AC">
        <w:rPr>
          <w:rFonts w:ascii="Arial" w:hAnsi="Arial" w:cs="Arial"/>
          <w:sz w:val="24"/>
          <w:szCs w:val="24"/>
        </w:rPr>
        <w:t xml:space="preserve"> (average) hourly pay gap is the difference between the average hourly earnings of men and women across the whole workforce.</w:t>
      </w:r>
    </w:p>
    <w:p w:rsidR="0060666D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The </w:t>
      </w:r>
      <w:r w:rsidRPr="006963AC">
        <w:rPr>
          <w:rFonts w:ascii="Arial" w:hAnsi="Arial" w:cs="Arial"/>
          <w:b/>
          <w:sz w:val="24"/>
          <w:szCs w:val="24"/>
        </w:rPr>
        <w:t>median</w:t>
      </w:r>
      <w:r w:rsidRPr="006963AC">
        <w:rPr>
          <w:rFonts w:ascii="Arial" w:hAnsi="Arial" w:cs="Arial"/>
          <w:sz w:val="24"/>
          <w:szCs w:val="24"/>
        </w:rPr>
        <w:t xml:space="preserve"> hourly pay gap is the difference between the middle point in the range of earnings of men and women.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60666D" w:rsidTr="0031697C">
        <w:trPr>
          <w:trHeight w:val="1030"/>
        </w:trPr>
        <w:tc>
          <w:tcPr>
            <w:tcW w:w="9302" w:type="dxa"/>
            <w:vAlign w:val="center"/>
          </w:tcPr>
          <w:p w:rsidR="0060666D" w:rsidRDefault="0060666D" w:rsidP="00A2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3AC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6963AC"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(average) gender pay gap </w:t>
            </w:r>
            <w:r w:rsidR="00A2451D">
              <w:rPr>
                <w:rFonts w:ascii="Arial" w:hAnsi="Arial" w:cs="Arial"/>
                <w:sz w:val="24"/>
                <w:szCs w:val="24"/>
              </w:rPr>
              <w:t>was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66D">
              <w:rPr>
                <w:rFonts w:ascii="Arial" w:hAnsi="Arial" w:cs="Arial"/>
                <w:b/>
                <w:sz w:val="24"/>
                <w:szCs w:val="24"/>
              </w:rPr>
              <w:t>22%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based on earnings as of 31</w:t>
            </w:r>
            <w:r w:rsidRPr="006963A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March 201</w:t>
            </w:r>
            <w:r w:rsidR="00A2451D">
              <w:rPr>
                <w:rFonts w:ascii="Arial" w:hAnsi="Arial" w:cs="Arial"/>
                <w:sz w:val="24"/>
                <w:szCs w:val="24"/>
              </w:rPr>
              <w:t>9</w:t>
            </w:r>
            <w:r w:rsidRPr="006963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666D" w:rsidTr="004C2059">
        <w:trPr>
          <w:trHeight w:val="650"/>
        </w:trPr>
        <w:tc>
          <w:tcPr>
            <w:tcW w:w="9302" w:type="dxa"/>
            <w:vAlign w:val="center"/>
          </w:tcPr>
          <w:p w:rsidR="0060666D" w:rsidRDefault="0060666D" w:rsidP="00A2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3AC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60666D">
              <w:rPr>
                <w:rFonts w:ascii="Arial" w:hAnsi="Arial" w:cs="Arial"/>
                <w:b/>
                <w:sz w:val="24"/>
                <w:szCs w:val="24"/>
              </w:rPr>
              <w:t>median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gender pay gap </w:t>
            </w:r>
            <w:r w:rsidR="00A2451D">
              <w:rPr>
                <w:rFonts w:ascii="Arial" w:hAnsi="Arial" w:cs="Arial"/>
                <w:sz w:val="24"/>
                <w:szCs w:val="24"/>
              </w:rPr>
              <w:t>was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66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451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0666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2451D">
              <w:rPr>
                <w:rFonts w:ascii="Arial" w:hAnsi="Arial" w:cs="Arial"/>
                <w:b/>
                <w:sz w:val="24"/>
                <w:szCs w:val="24"/>
              </w:rPr>
              <w:t>74</w:t>
            </w:r>
            <w:r w:rsidRPr="0060666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6963AC">
              <w:rPr>
                <w:rFonts w:ascii="Arial" w:hAnsi="Arial" w:cs="Arial"/>
                <w:sz w:val="24"/>
                <w:szCs w:val="24"/>
              </w:rPr>
              <w:t xml:space="preserve"> as of the same date.</w:t>
            </w:r>
          </w:p>
        </w:tc>
      </w:tr>
    </w:tbl>
    <w:p w:rsidR="0060666D" w:rsidRDefault="0060666D" w:rsidP="0060666D">
      <w:pPr>
        <w:rPr>
          <w:rFonts w:ascii="Arial" w:hAnsi="Arial" w:cs="Arial"/>
          <w:sz w:val="24"/>
          <w:szCs w:val="24"/>
        </w:rPr>
      </w:pPr>
    </w:p>
    <w:p w:rsidR="00A2451D" w:rsidRDefault="00A2451D" w:rsidP="00606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these gaps have reduced slightly since the 2018 report.</w:t>
      </w:r>
    </w:p>
    <w:p w:rsid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>This is not the same as equal pay – it is illegal to pay male and female workers differently for work that is the same or similar on the basis of gender.</w:t>
      </w:r>
    </w:p>
    <w:p w:rsidR="00F45C23" w:rsidRPr="006963AC" w:rsidRDefault="006E18D0" w:rsidP="006E18D0">
      <w:pPr>
        <w:tabs>
          <w:tab w:val="left" w:pos="3630"/>
        </w:tabs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6C487E" w:rsidRDefault="006C487E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br w:type="page"/>
      </w:r>
    </w:p>
    <w:p w:rsidR="0060666D" w:rsidRPr="0060666D" w:rsidRDefault="0060666D" w:rsidP="0060666D">
      <w:pPr>
        <w:rPr>
          <w:rFonts w:ascii="Arial" w:hAnsi="Arial" w:cs="Arial"/>
          <w:b/>
          <w:color w:val="00B050"/>
          <w:sz w:val="36"/>
          <w:szCs w:val="36"/>
        </w:rPr>
      </w:pPr>
      <w:r w:rsidRPr="0060666D">
        <w:rPr>
          <w:rFonts w:ascii="Arial" w:hAnsi="Arial" w:cs="Arial"/>
          <w:b/>
          <w:color w:val="00B050"/>
          <w:sz w:val="36"/>
          <w:szCs w:val="36"/>
        </w:rPr>
        <w:lastRenderedPageBreak/>
        <w:t>Proportio</w:t>
      </w:r>
      <w:r>
        <w:rPr>
          <w:rFonts w:ascii="Arial" w:hAnsi="Arial" w:cs="Arial"/>
          <w:b/>
          <w:color w:val="00B050"/>
          <w:sz w:val="36"/>
          <w:szCs w:val="36"/>
        </w:rPr>
        <w:t>n of men and women receiving a b</w:t>
      </w:r>
      <w:r w:rsidRPr="0060666D">
        <w:rPr>
          <w:rFonts w:ascii="Arial" w:hAnsi="Arial" w:cs="Arial"/>
          <w:b/>
          <w:color w:val="00B050"/>
          <w:sz w:val="36"/>
          <w:szCs w:val="36"/>
        </w:rPr>
        <w:t>onus</w:t>
      </w:r>
    </w:p>
    <w:p w:rsidR="006963AC" w:rsidRP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>In o</w:t>
      </w:r>
      <w:r w:rsidR="0060666D">
        <w:rPr>
          <w:rFonts w:ascii="Arial" w:hAnsi="Arial" w:cs="Arial"/>
          <w:sz w:val="24"/>
          <w:szCs w:val="24"/>
        </w:rPr>
        <w:t xml:space="preserve">ur </w:t>
      </w:r>
      <w:r w:rsidR="00765128">
        <w:rPr>
          <w:rFonts w:ascii="Arial" w:hAnsi="Arial" w:cs="Arial"/>
          <w:sz w:val="24"/>
          <w:szCs w:val="24"/>
        </w:rPr>
        <w:t>T</w:t>
      </w:r>
      <w:r w:rsidR="0060666D">
        <w:rPr>
          <w:rFonts w:ascii="Arial" w:hAnsi="Arial" w:cs="Arial"/>
          <w:sz w:val="24"/>
          <w:szCs w:val="24"/>
        </w:rPr>
        <w:t>rust, only medical c</w:t>
      </w:r>
      <w:r w:rsidRPr="006963AC">
        <w:rPr>
          <w:rFonts w:ascii="Arial" w:hAnsi="Arial" w:cs="Arial"/>
          <w:sz w:val="24"/>
          <w:szCs w:val="24"/>
        </w:rPr>
        <w:t xml:space="preserve">onsultants </w:t>
      </w:r>
      <w:r w:rsidR="00765128">
        <w:rPr>
          <w:rFonts w:ascii="Arial" w:hAnsi="Arial" w:cs="Arial"/>
          <w:sz w:val="24"/>
          <w:szCs w:val="24"/>
        </w:rPr>
        <w:t xml:space="preserve">(doctors who have finished their training) can </w:t>
      </w:r>
      <w:r w:rsidRPr="006963AC">
        <w:rPr>
          <w:rFonts w:ascii="Arial" w:hAnsi="Arial" w:cs="Arial"/>
          <w:sz w:val="24"/>
          <w:szCs w:val="24"/>
        </w:rPr>
        <w:t>receive payments that can be classed as bonuses. These payments are called Clinical Excellence Awards (CEA)</w:t>
      </w:r>
      <w:r w:rsidR="0060666D">
        <w:rPr>
          <w:rFonts w:ascii="Arial" w:hAnsi="Arial" w:cs="Arial"/>
          <w:sz w:val="24"/>
          <w:szCs w:val="24"/>
        </w:rPr>
        <w:t>,</w:t>
      </w:r>
      <w:r w:rsidRPr="006963AC">
        <w:rPr>
          <w:rFonts w:ascii="Arial" w:hAnsi="Arial" w:cs="Arial"/>
          <w:sz w:val="24"/>
          <w:szCs w:val="24"/>
        </w:rPr>
        <w:t xml:space="preserve"> coming from</w:t>
      </w:r>
      <w:r w:rsidR="0060666D">
        <w:rPr>
          <w:rFonts w:ascii="Arial" w:hAnsi="Arial" w:cs="Arial"/>
          <w:sz w:val="24"/>
          <w:szCs w:val="24"/>
        </w:rPr>
        <w:t xml:space="preserve"> the national NHS contract for c</w:t>
      </w:r>
      <w:r w:rsidRPr="006963AC">
        <w:rPr>
          <w:rFonts w:ascii="Arial" w:hAnsi="Arial" w:cs="Arial"/>
          <w:sz w:val="24"/>
          <w:szCs w:val="24"/>
        </w:rPr>
        <w:t xml:space="preserve">onsultants. </w:t>
      </w:r>
      <w:r w:rsidR="00A2451D">
        <w:rPr>
          <w:rFonts w:ascii="Arial" w:hAnsi="Arial" w:cs="Arial"/>
          <w:sz w:val="24"/>
          <w:szCs w:val="24"/>
        </w:rPr>
        <w:t xml:space="preserve">Eligible consultant have to complete an application form which is judged by a </w:t>
      </w:r>
      <w:r w:rsidR="00765128">
        <w:rPr>
          <w:rFonts w:ascii="Arial" w:hAnsi="Arial" w:cs="Arial"/>
          <w:sz w:val="24"/>
          <w:szCs w:val="24"/>
        </w:rPr>
        <w:t>panel made up of other consultants with a balanced gender and black and minority ethic composition.</w:t>
      </w:r>
    </w:p>
    <w:p w:rsidR="00F45C23" w:rsidRPr="006963AC" w:rsidRDefault="006963AC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>On 31</w:t>
      </w:r>
      <w:r w:rsidRPr="006963AC">
        <w:rPr>
          <w:rFonts w:ascii="Arial" w:hAnsi="Arial" w:cs="Arial"/>
          <w:sz w:val="24"/>
          <w:szCs w:val="24"/>
          <w:vertAlign w:val="superscript"/>
        </w:rPr>
        <w:t>st</w:t>
      </w:r>
      <w:r w:rsidRPr="006963AC">
        <w:rPr>
          <w:rFonts w:ascii="Arial" w:hAnsi="Arial" w:cs="Arial"/>
          <w:sz w:val="24"/>
          <w:szCs w:val="24"/>
        </w:rPr>
        <w:t xml:space="preserve"> March 201</w:t>
      </w:r>
      <w:r w:rsidR="00A2451D">
        <w:rPr>
          <w:rFonts w:ascii="Arial" w:hAnsi="Arial" w:cs="Arial"/>
          <w:sz w:val="24"/>
          <w:szCs w:val="24"/>
        </w:rPr>
        <w:t>9</w:t>
      </w:r>
      <w:r w:rsidRPr="006963AC">
        <w:rPr>
          <w:rFonts w:ascii="Arial" w:hAnsi="Arial" w:cs="Arial"/>
          <w:sz w:val="24"/>
          <w:szCs w:val="24"/>
        </w:rPr>
        <w:t xml:space="preserve"> </w:t>
      </w:r>
      <w:r w:rsidR="006C487E">
        <w:rPr>
          <w:rFonts w:ascii="Arial" w:hAnsi="Arial" w:cs="Arial"/>
          <w:sz w:val="24"/>
          <w:szCs w:val="24"/>
        </w:rPr>
        <w:t xml:space="preserve">the </w:t>
      </w:r>
      <w:r w:rsidR="00765128">
        <w:rPr>
          <w:rFonts w:ascii="Arial" w:hAnsi="Arial" w:cs="Arial"/>
          <w:sz w:val="24"/>
          <w:szCs w:val="24"/>
        </w:rPr>
        <w:t>T</w:t>
      </w:r>
      <w:r w:rsidR="006C487E">
        <w:rPr>
          <w:rFonts w:ascii="Arial" w:hAnsi="Arial" w:cs="Arial"/>
          <w:sz w:val="24"/>
          <w:szCs w:val="24"/>
        </w:rPr>
        <w:t>rust employed 10</w:t>
      </w:r>
      <w:r w:rsidR="00A2451D">
        <w:rPr>
          <w:rFonts w:ascii="Arial" w:hAnsi="Arial" w:cs="Arial"/>
          <w:sz w:val="24"/>
          <w:szCs w:val="24"/>
        </w:rPr>
        <w:t>4</w:t>
      </w:r>
      <w:r w:rsidR="006C487E">
        <w:rPr>
          <w:rFonts w:ascii="Arial" w:hAnsi="Arial" w:cs="Arial"/>
          <w:sz w:val="24"/>
          <w:szCs w:val="24"/>
        </w:rPr>
        <w:t xml:space="preserve"> medical c</w:t>
      </w:r>
      <w:r w:rsidR="006C487E" w:rsidRPr="006963AC">
        <w:rPr>
          <w:rFonts w:ascii="Arial" w:hAnsi="Arial" w:cs="Arial"/>
          <w:sz w:val="24"/>
          <w:szCs w:val="24"/>
        </w:rPr>
        <w:t>onsultants;</w:t>
      </w:r>
      <w:r w:rsidRPr="006963AC">
        <w:rPr>
          <w:rFonts w:ascii="Arial" w:hAnsi="Arial" w:cs="Arial"/>
          <w:sz w:val="24"/>
          <w:szCs w:val="24"/>
        </w:rPr>
        <w:t xml:space="preserve"> </w:t>
      </w:r>
      <w:r w:rsidR="00A2451D">
        <w:rPr>
          <w:rFonts w:ascii="Arial" w:hAnsi="Arial" w:cs="Arial"/>
          <w:sz w:val="24"/>
          <w:szCs w:val="24"/>
        </w:rPr>
        <w:t>53</w:t>
      </w:r>
      <w:r w:rsidR="0060666D">
        <w:rPr>
          <w:rFonts w:ascii="Arial" w:hAnsi="Arial" w:cs="Arial"/>
          <w:sz w:val="24"/>
          <w:szCs w:val="24"/>
        </w:rPr>
        <w:t xml:space="preserve"> of these </w:t>
      </w:r>
      <w:r w:rsidR="006C487E">
        <w:rPr>
          <w:rFonts w:ascii="Arial" w:hAnsi="Arial" w:cs="Arial"/>
          <w:sz w:val="24"/>
          <w:szCs w:val="24"/>
        </w:rPr>
        <w:t>were</w:t>
      </w:r>
      <w:r w:rsidR="0060666D">
        <w:rPr>
          <w:rFonts w:ascii="Arial" w:hAnsi="Arial" w:cs="Arial"/>
          <w:sz w:val="24"/>
          <w:szCs w:val="24"/>
        </w:rPr>
        <w:t xml:space="preserve"> female and </w:t>
      </w:r>
      <w:r w:rsidR="00A2451D">
        <w:rPr>
          <w:rFonts w:ascii="Arial" w:hAnsi="Arial" w:cs="Arial"/>
          <w:sz w:val="24"/>
          <w:szCs w:val="24"/>
        </w:rPr>
        <w:t xml:space="preserve">51 </w:t>
      </w:r>
      <w:r w:rsidR="0060666D">
        <w:rPr>
          <w:rFonts w:ascii="Arial" w:hAnsi="Arial" w:cs="Arial"/>
          <w:sz w:val="24"/>
          <w:szCs w:val="24"/>
        </w:rPr>
        <w:t xml:space="preserve">male. </w:t>
      </w:r>
      <w:r w:rsidR="00E741F4" w:rsidRPr="006963AC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               </w:t>
      </w:r>
      <w:r w:rsidR="00E741F4" w:rsidRPr="006963A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34753" wp14:editId="70D41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1F4" w:rsidRDefault="00E741F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347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bR4AIAAAUGAAAOAAAAZHJzL2Uyb0RvYy54bWysVMlu2zAQvRfoPxC8N96yOEbkwE2QtkA2&#10;NC5ypinKEkCRBElbSr++byjZcZOcivogz8bHmXnDubhsa822yofKmoyPjoacKSNtXpl1xn8tb75M&#10;OQtRmFxoa1TGX1Tgl/PPny4aN1NjW1qdK88AYsKscRkvY3SzwSDIUtUiHFmnDJyF9bWIUP16kHvR&#10;AL3Wg/FweDporM+dt1KFAOt15+TzhF8USsaHoggqMp1x5BbT16fvir6D+YWYrb1wZSX7NMQ/ZFGL&#10;yuDSPdS1iIJtfPUOqq6kt8EW8UjaemCLopIq1YBqRsM31TyVwqlUC5oT3L5N4f/Byvvto2dVnvHx&#10;iDMjanC0VG1kX23LYEJ/GhdmCHtyCIwt7OB5Zw8wUtlt4Wv6R0EMfnT6Zd9dQpN0aDqeTodwSfh2&#10;CvAHr8edD/GbsjUjIeMe9KWuiu1tiF3oLoRuM/am0jpRqM1fBmB2FpVmoD9NlXQZkxTbVdtVvqtm&#10;ZfMXFOltNybByZsKidyKEB+Fx1wgecx6fMCn0LbJuO0lzkrrf39kp3jQBS9nDeYs4wYPgTP9w4DG&#10;89HxMY1lUo5PzsZQ/KFndegxm/rKYpDBFHJLIsVHvRMLb+tnPIgF3QmXMBI3ZzzuxKvYzT4elFSL&#10;RQrCIDoRb82TkwRNfaQmL9tn4V3PRASJ93Y3j2L2hpAulk4Gt9hE0EJsQZPKqElOosRoedHDWR9L&#10;27+6G29N7N6hrtZl/Fmtma+wPQotkHdepfwJArww2FLS2Cbp36stDdP5kH6EQsz3MEk5SCG4Sc5Q&#10;iN/Qtvqe8cno7ARdkkjAbvxzxk8npFP1dyIqXwk029kGKyq1ZaW2Si8ZeB+dDymy3EvdwAqz1qqr&#10;pQe90ul9pH2moLAtYQqJxsRJAo2ViZ11tC8CnStFrj4wi3hn8/f2cqM+sKMX+4tTMw6TIicaAjs9&#10;hm70ewW7JoX3DNEyO9RT1Ov2nv8B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O8qZtHgAgAABQY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E741F4" w:rsidRDefault="00E741F4"/>
                  </w:txbxContent>
                </v:textbox>
              </v:shape>
            </w:pict>
          </mc:Fallback>
        </mc:AlternateContent>
      </w:r>
    </w:p>
    <w:p w:rsidR="00E02218" w:rsidRPr="006963AC" w:rsidRDefault="006C487E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A3F40" wp14:editId="49D91DB1">
                <wp:simplePos x="0" y="0"/>
                <wp:positionH relativeFrom="column">
                  <wp:posOffset>1066165</wp:posOffset>
                </wp:positionH>
                <wp:positionV relativeFrom="paragraph">
                  <wp:posOffset>249555</wp:posOffset>
                </wp:positionV>
                <wp:extent cx="3819525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1F4" w:rsidRPr="00814202" w:rsidRDefault="00E741F4" w:rsidP="006C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4202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Mean </w:t>
                            </w:r>
                            <w:r w:rsidR="00A2451D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= 7.99</w:t>
                            </w:r>
                            <w:r w:rsidRPr="00814202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%        </w:t>
                            </w:r>
                            <w:r w:rsidR="00E02218" w:rsidRPr="00814202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814202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Median</w:t>
                            </w:r>
                            <w:r w:rsidR="00B04613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2451D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= -35.21</w:t>
                            </w:r>
                            <w:r w:rsidRPr="00814202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%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A3F40" id="Text Box 22" o:spid="_x0000_s1027" type="#_x0000_t202" style="position:absolute;margin-left:83.95pt;margin-top:19.65pt;width:300.7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+K6wIAAAcGAAAOAAAAZHJzL2Uyb0RvYy54bWysVE1vGjEQvVfqf7B8b5aFJAWUJaKJaCvl&#10;Sw1VzsbrZS15bdc2LOmv77N3ITTJqSoHM187nnlvPBeXu0aRrXBeGl3Q/GRAidDclFKvC/pzufg0&#10;psQHpkumjBYFfRaeXs4+frho7VQMTW1UKRxBEu2nrS1oHYKdZpnntWiYPzFWaDgr4xoWoLp1VjrW&#10;InujsuFgcJ61xpXWGS68h/W6c9JZyl9Vgof7qvIiEFVQ1BbS6dK5imc2u2DTtWO2lrwvg/1DFQ2T&#10;GpceUl2zwMjGyTepGsmd8aYKJ9w0makqyUXqAd3kg1fdPNbMitQLwPH2AJP/f2n53fbBEVkWdDik&#10;RLMGHC3FLpAvZkdgAj6t9VOEPVoEhh3s4Hlv9zDGtneVa+I/GiLwA+nnA7oxG4dxNM4nZ8MzSjh8&#10;+Xg4Hg8S/tnL59b58FWYhkShoA70JVTZ9sYHlILQfUi8TZuFVCpRqPRfBgR2FpFmoP86dtJVHKWw&#10;W+1S56N9NytTPqNJZ7ox8ZYvJAq5YT48MIe5QF+Y9XCPo1KmLajpJUpq436/Z4/xoAteSlrMWUH9&#10;rw1zghL1XYPISX56GgczKadnn4dQ3LFndezRm+bKYJRzvCrLkxjjg9qLlTPNE57EPN4KF9Mcdxc0&#10;7MWr0E0/nhQX83kKwihaFm70o+UxdUQywrzcPTFney4CaLwz+4lk01eUdLHxS2/nmwBiIl/QuNBi&#10;VEaRY7gc69MZF2rTv7uFMzp0L1HJdR1+yDVxEvujUgx1lzLVH1OAGQJbKhr7JP07sY3jNBnEX8wS&#10;ue/TJOWoBG9HJUEjbhP31TfMZP75DChxFGA27qmg56Oox+5vWRBOMoBtTYsllWBZia1QSwLm88kg&#10;RtYHqRtZptdKdL30Sa9UeiFpowkoZBtzMg5gwiglDVKHzpofmgByNSvFO2YWbk351l5vxDt2YHG4&#10;OIFxXFR0AhDY43Pohr9XsG1SeM9QXGfHeop62d+zPwAAAP//AwBQSwMEFAAGAAgAAAAhADDwLrTe&#10;AAAACgEAAA8AAABkcnMvZG93bnJldi54bWxMj01PwzAMhu9I/IfISNxYuhVaWppOEx8SBy6Mcs8a&#10;01Q0TtVka/fvMSc4vvaj14+r7eIGccIp9J4UrFcJCKTWm546Bc3Hy809iBA1GT14QgVnDLCtLy8q&#10;XRo/0zue9rETXEKh1ApsjGMpZWgtOh1WfkTi3ZefnI4cp06aSc9c7ga5SZJMOt0TX7B6xEeL7ff+&#10;6BTEaHbrc/Pswuvn8vY026S9041S11fL7gFExCX+wfCrz+pQs9PBH8kEMXDO8oJRBWmRgmAgz4pb&#10;EAcebPIUZF3J/y/UPwAAAP//AwBQSwECLQAUAAYACAAAACEAtoM4kv4AAADhAQAAEwAAAAAAAAAA&#10;AAAAAAAAAAAAW0NvbnRlbnRfVHlwZXNdLnhtbFBLAQItABQABgAIAAAAIQA4/SH/1gAAAJQBAAAL&#10;AAAAAAAAAAAAAAAAAC8BAABfcmVscy8ucmVsc1BLAQItABQABgAIAAAAIQBxYQ+K6wIAAAcGAAAO&#10;AAAAAAAAAAAAAAAAAC4CAABkcnMvZTJvRG9jLnhtbFBLAQItABQABgAIAAAAIQAw8C603gAAAAoB&#10;AAAPAAAAAAAAAAAAAAAAAEUFAABkcnMvZG93bnJldi54bWxQSwUGAAAAAAQABADzAAAAUAYAAAAA&#10;" filled="f" stroked="f">
                <v:textbox style="mso-fit-shape-to-text:t">
                  <w:txbxContent>
                    <w:p w:rsidR="00E741F4" w:rsidRPr="00814202" w:rsidRDefault="00E741F4" w:rsidP="006C48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14202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Mean </w:t>
                      </w:r>
                      <w:r w:rsidR="00A2451D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= 7.99</w:t>
                      </w:r>
                      <w:r w:rsidRPr="00814202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%        </w:t>
                      </w:r>
                      <w:r w:rsidR="00E02218" w:rsidRPr="00814202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814202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Median</w:t>
                      </w:r>
                      <w:r w:rsidR="00B04613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2451D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= -35.21</w:t>
                      </w:r>
                      <w:r w:rsidRPr="00814202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%     </w:t>
                      </w:r>
                    </w:p>
                  </w:txbxContent>
                </v:textbox>
              </v:shape>
            </w:pict>
          </mc:Fallback>
        </mc:AlternateContent>
      </w:r>
      <w:r w:rsidR="00A2451D">
        <w:rPr>
          <w:rFonts w:ascii="Arial" w:hAnsi="Arial" w:cs="Arial"/>
          <w:sz w:val="24"/>
          <w:szCs w:val="24"/>
        </w:rPr>
        <w:t>The average (mean) and median bonus pay gap is detailed below.</w:t>
      </w:r>
    </w:p>
    <w:p w:rsidR="00E02218" w:rsidRPr="006963AC" w:rsidRDefault="00E02218">
      <w:pPr>
        <w:rPr>
          <w:rFonts w:ascii="Arial" w:hAnsi="Arial" w:cs="Arial"/>
          <w:sz w:val="24"/>
          <w:szCs w:val="24"/>
        </w:rPr>
      </w:pPr>
    </w:p>
    <w:p w:rsidR="00E02218" w:rsidRPr="006963AC" w:rsidRDefault="00E02218">
      <w:pPr>
        <w:rPr>
          <w:rFonts w:ascii="Arial" w:hAnsi="Arial" w:cs="Arial"/>
          <w:sz w:val="24"/>
          <w:szCs w:val="24"/>
        </w:rPr>
      </w:pPr>
    </w:p>
    <w:p w:rsidR="009773F3" w:rsidRPr="0060666D" w:rsidRDefault="0060666D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Proportion of men and women in each pay q</w:t>
      </w:r>
      <w:r w:rsidRPr="0060666D">
        <w:rPr>
          <w:rFonts w:ascii="Arial" w:hAnsi="Arial" w:cs="Arial"/>
          <w:b/>
          <w:color w:val="00B050"/>
          <w:sz w:val="36"/>
          <w:szCs w:val="36"/>
        </w:rPr>
        <w:t>uartile</w:t>
      </w:r>
    </w:p>
    <w:p w:rsidR="006963AC" w:rsidRPr="006963AC" w:rsidRDefault="00765128" w:rsidP="00606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6963AC" w:rsidRPr="006963AC">
        <w:rPr>
          <w:rFonts w:ascii="Arial" w:hAnsi="Arial" w:cs="Arial"/>
          <w:sz w:val="24"/>
          <w:szCs w:val="24"/>
        </w:rPr>
        <w:t>% of our workforce are women so we would expect to see proportionately more women in each quartile than men.</w:t>
      </w:r>
    </w:p>
    <w:p w:rsidR="006963AC" w:rsidRP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When we order the hourly rates of pay </w:t>
      </w:r>
      <w:r w:rsidR="004A153C">
        <w:rPr>
          <w:rFonts w:ascii="Arial" w:hAnsi="Arial" w:cs="Arial"/>
          <w:sz w:val="24"/>
          <w:szCs w:val="24"/>
        </w:rPr>
        <w:t xml:space="preserve">from the lowest to the highest </w:t>
      </w:r>
      <w:r w:rsidRPr="006963AC">
        <w:rPr>
          <w:rFonts w:ascii="Arial" w:hAnsi="Arial" w:cs="Arial"/>
          <w:sz w:val="24"/>
          <w:szCs w:val="24"/>
        </w:rPr>
        <w:t xml:space="preserve">group in 4 equal quartiles we see that the lowest pay quartile is </w:t>
      </w:r>
      <w:r w:rsidR="00765128">
        <w:rPr>
          <w:rFonts w:ascii="Arial" w:hAnsi="Arial" w:cs="Arial"/>
          <w:sz w:val="24"/>
          <w:szCs w:val="24"/>
        </w:rPr>
        <w:t>88.84</w:t>
      </w:r>
      <w:r w:rsidRPr="006963AC">
        <w:rPr>
          <w:rFonts w:ascii="Arial" w:hAnsi="Arial" w:cs="Arial"/>
          <w:sz w:val="24"/>
          <w:szCs w:val="24"/>
        </w:rPr>
        <w:t xml:space="preserve">% female. The highest pay quartile is </w:t>
      </w:r>
      <w:r w:rsidR="00765128">
        <w:rPr>
          <w:rFonts w:ascii="Arial" w:hAnsi="Arial" w:cs="Arial"/>
          <w:sz w:val="24"/>
          <w:szCs w:val="24"/>
        </w:rPr>
        <w:t>86.80</w:t>
      </w:r>
      <w:r w:rsidRPr="006963AC">
        <w:rPr>
          <w:rFonts w:ascii="Arial" w:hAnsi="Arial" w:cs="Arial"/>
          <w:sz w:val="24"/>
          <w:szCs w:val="24"/>
        </w:rPr>
        <w:t>% female.</w:t>
      </w:r>
    </w:p>
    <w:p w:rsid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The second and third quartiles are </w:t>
      </w:r>
      <w:r w:rsidR="00765128">
        <w:rPr>
          <w:rFonts w:ascii="Arial" w:hAnsi="Arial" w:cs="Arial"/>
          <w:sz w:val="24"/>
          <w:szCs w:val="24"/>
        </w:rPr>
        <w:t>90.37</w:t>
      </w:r>
      <w:r w:rsidRPr="006963AC">
        <w:rPr>
          <w:rFonts w:ascii="Arial" w:hAnsi="Arial" w:cs="Arial"/>
          <w:sz w:val="24"/>
          <w:szCs w:val="24"/>
        </w:rPr>
        <w:t xml:space="preserve">% and </w:t>
      </w:r>
      <w:r w:rsidR="00765128">
        <w:rPr>
          <w:rFonts w:ascii="Arial" w:hAnsi="Arial" w:cs="Arial"/>
          <w:sz w:val="24"/>
          <w:szCs w:val="24"/>
        </w:rPr>
        <w:t>92.05</w:t>
      </w:r>
      <w:r w:rsidRPr="006963AC">
        <w:rPr>
          <w:rFonts w:ascii="Arial" w:hAnsi="Arial" w:cs="Arial"/>
          <w:sz w:val="24"/>
          <w:szCs w:val="24"/>
        </w:rPr>
        <w:t xml:space="preserve">% female respectively, indicating the gender pay gap </w:t>
      </w:r>
      <w:r w:rsidR="004A153C">
        <w:rPr>
          <w:rFonts w:ascii="Arial" w:hAnsi="Arial" w:cs="Arial"/>
          <w:sz w:val="24"/>
          <w:szCs w:val="24"/>
        </w:rPr>
        <w:t xml:space="preserve">may be </w:t>
      </w:r>
      <w:r w:rsidRPr="006963AC">
        <w:rPr>
          <w:rFonts w:ascii="Arial" w:hAnsi="Arial" w:cs="Arial"/>
          <w:sz w:val="24"/>
          <w:szCs w:val="24"/>
        </w:rPr>
        <w:t>driven by differences in the upper quartile.</w:t>
      </w:r>
    </w:p>
    <w:tbl>
      <w:tblPr>
        <w:tblW w:w="8924" w:type="dxa"/>
        <w:jc w:val="center"/>
        <w:tblLook w:val="04A0" w:firstRow="1" w:lastRow="0" w:firstColumn="1" w:lastColumn="0" w:noHBand="0" w:noVBand="1"/>
      </w:tblPr>
      <w:tblGrid>
        <w:gridCol w:w="1440"/>
        <w:gridCol w:w="1871"/>
        <w:gridCol w:w="1871"/>
        <w:gridCol w:w="1871"/>
        <w:gridCol w:w="1871"/>
      </w:tblGrid>
      <w:tr w:rsidR="00765128" w:rsidRPr="00A73303" w:rsidTr="00765128">
        <w:trPr>
          <w:trHeight w:val="646"/>
          <w:jc w:val="center"/>
        </w:trPr>
        <w:tc>
          <w:tcPr>
            <w:tcW w:w="14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Quartile</w:t>
            </w:r>
          </w:p>
        </w:tc>
        <w:tc>
          <w:tcPr>
            <w:tcW w:w="1871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Female</w:t>
            </w:r>
          </w:p>
        </w:tc>
        <w:tc>
          <w:tcPr>
            <w:tcW w:w="1871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Male</w:t>
            </w:r>
          </w:p>
        </w:tc>
        <w:tc>
          <w:tcPr>
            <w:tcW w:w="1871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Female %</w:t>
            </w:r>
          </w:p>
        </w:tc>
        <w:tc>
          <w:tcPr>
            <w:tcW w:w="1871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auto" w:fill="C6D9F1" w:themeFill="text2" w:themeFillTint="33"/>
            <w:vAlign w:val="bottom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Male %</w:t>
            </w:r>
          </w:p>
        </w:tc>
      </w:tr>
      <w:tr w:rsidR="00765128" w:rsidRPr="00A73303" w:rsidTr="00765128">
        <w:trPr>
          <w:trHeight w:val="300"/>
          <w:jc w:val="center"/>
        </w:trPr>
        <w:tc>
          <w:tcPr>
            <w:tcW w:w="144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597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88.84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11.16</w:t>
            </w:r>
          </w:p>
        </w:tc>
      </w:tr>
      <w:tr w:rsidR="00765128" w:rsidRPr="00A73303" w:rsidTr="00765128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582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90.37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9.63</w:t>
            </w:r>
          </w:p>
        </w:tc>
      </w:tr>
      <w:tr w:rsidR="00765128" w:rsidRPr="00A73303" w:rsidTr="00765128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648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92.05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7.95</w:t>
            </w:r>
          </w:p>
        </w:tc>
      </w:tr>
      <w:tr w:rsidR="00765128" w:rsidRPr="00A73303" w:rsidTr="00765128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C6D9F1" w:themeFill="text2" w:themeFillTint="33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A7330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585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86.80</w:t>
            </w:r>
          </w:p>
        </w:tc>
        <w:tc>
          <w:tcPr>
            <w:tcW w:w="1871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:rsidR="00765128" w:rsidRPr="00A73303" w:rsidRDefault="00765128" w:rsidP="00804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13.20</w:t>
            </w:r>
          </w:p>
        </w:tc>
      </w:tr>
    </w:tbl>
    <w:p w:rsidR="004A2448" w:rsidRPr="006963AC" w:rsidRDefault="00F13A05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       </w:t>
      </w:r>
      <w:r w:rsidR="00263231" w:rsidRPr="006963AC">
        <w:rPr>
          <w:rFonts w:ascii="Arial" w:hAnsi="Arial" w:cs="Arial"/>
          <w:sz w:val="24"/>
          <w:szCs w:val="24"/>
        </w:rPr>
        <w:t xml:space="preserve">                   </w:t>
      </w:r>
      <w:r w:rsidRPr="006963AC">
        <w:rPr>
          <w:rFonts w:ascii="Arial" w:hAnsi="Arial" w:cs="Arial"/>
          <w:sz w:val="24"/>
          <w:szCs w:val="24"/>
        </w:rPr>
        <w:t xml:space="preserve">       </w:t>
      </w:r>
      <w:r w:rsidR="00263231" w:rsidRPr="006963AC">
        <w:rPr>
          <w:rFonts w:ascii="Arial" w:hAnsi="Arial" w:cs="Arial"/>
          <w:sz w:val="24"/>
          <w:szCs w:val="24"/>
        </w:rPr>
        <w:t xml:space="preserve">               </w:t>
      </w:r>
      <w:r w:rsidR="00861855" w:rsidRPr="006963AC">
        <w:rPr>
          <w:rFonts w:ascii="Arial" w:hAnsi="Arial" w:cs="Arial"/>
          <w:sz w:val="24"/>
          <w:szCs w:val="24"/>
        </w:rPr>
        <w:t xml:space="preserve">    </w:t>
      </w:r>
    </w:p>
    <w:p w:rsidR="0060666D" w:rsidRPr="0060666D" w:rsidRDefault="0060666D" w:rsidP="0060666D">
      <w:pPr>
        <w:rPr>
          <w:rFonts w:ascii="Arial" w:hAnsi="Arial" w:cs="Arial"/>
          <w:b/>
          <w:color w:val="00B050"/>
          <w:sz w:val="36"/>
          <w:szCs w:val="36"/>
        </w:rPr>
      </w:pPr>
      <w:r w:rsidRPr="0060666D">
        <w:rPr>
          <w:rFonts w:ascii="Arial" w:hAnsi="Arial" w:cs="Arial"/>
          <w:b/>
          <w:color w:val="00B050"/>
          <w:sz w:val="36"/>
          <w:szCs w:val="36"/>
        </w:rPr>
        <w:t>Why do we have a gender pay gap?</w:t>
      </w:r>
    </w:p>
    <w:p w:rsidR="006963AC" w:rsidRP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>We are confident that our workforce is rewarded equally for doing work of equal value because of national pay policies and a robust job evaluation scheme.</w:t>
      </w:r>
    </w:p>
    <w:p w:rsidR="006959C6" w:rsidRPr="006963AC" w:rsidRDefault="006963AC" w:rsidP="0060666D">
      <w:pPr>
        <w:rPr>
          <w:rFonts w:ascii="Arial" w:hAnsi="Arial" w:cs="Arial"/>
          <w:sz w:val="24"/>
          <w:szCs w:val="24"/>
        </w:rPr>
      </w:pPr>
      <w:r w:rsidRPr="006963AC">
        <w:rPr>
          <w:rFonts w:ascii="Arial" w:hAnsi="Arial" w:cs="Arial"/>
          <w:sz w:val="24"/>
          <w:szCs w:val="24"/>
        </w:rPr>
        <w:t xml:space="preserve">We believe, from the data, the gender pay gap is mainly the result of a disproportionate number of male </w:t>
      </w:r>
      <w:r w:rsidR="006C487E">
        <w:rPr>
          <w:rFonts w:ascii="Arial" w:hAnsi="Arial" w:cs="Arial"/>
          <w:sz w:val="24"/>
          <w:szCs w:val="24"/>
        </w:rPr>
        <w:t>employees</w:t>
      </w:r>
      <w:r w:rsidRPr="006963AC">
        <w:rPr>
          <w:rFonts w:ascii="Arial" w:hAnsi="Arial" w:cs="Arial"/>
          <w:sz w:val="24"/>
          <w:szCs w:val="24"/>
        </w:rPr>
        <w:t xml:space="preserve"> in the most senior roles.</w:t>
      </w:r>
      <w:r w:rsidR="006C487E">
        <w:rPr>
          <w:rFonts w:ascii="Arial" w:hAnsi="Arial" w:cs="Arial"/>
          <w:sz w:val="24"/>
          <w:szCs w:val="24"/>
        </w:rPr>
        <w:t xml:space="preserve"> Also, a higher number of male c</w:t>
      </w:r>
      <w:r w:rsidRPr="006963AC">
        <w:rPr>
          <w:rFonts w:ascii="Arial" w:hAnsi="Arial" w:cs="Arial"/>
          <w:sz w:val="24"/>
          <w:szCs w:val="24"/>
        </w:rPr>
        <w:t>onsultants receiving Clinical Excellence Awards is a significant factor when calculating the gap between male and female hourly rates</w:t>
      </w:r>
      <w:r w:rsidR="006C487E">
        <w:rPr>
          <w:rFonts w:ascii="Arial" w:hAnsi="Arial" w:cs="Arial"/>
          <w:sz w:val="24"/>
          <w:szCs w:val="24"/>
        </w:rPr>
        <w:t>.</w:t>
      </w:r>
    </w:p>
    <w:p w:rsidR="006959C6" w:rsidRPr="00C6528F" w:rsidRDefault="0060666D">
      <w:pPr>
        <w:rPr>
          <w:rFonts w:ascii="Arial" w:hAnsi="Arial" w:cs="Arial"/>
          <w:b/>
          <w:color w:val="00B050"/>
          <w:sz w:val="36"/>
          <w:szCs w:val="36"/>
        </w:rPr>
      </w:pPr>
      <w:r w:rsidRPr="0060666D">
        <w:rPr>
          <w:rFonts w:ascii="Arial" w:hAnsi="Arial" w:cs="Arial"/>
          <w:b/>
          <w:color w:val="00B050"/>
          <w:sz w:val="36"/>
          <w:szCs w:val="36"/>
        </w:rPr>
        <w:lastRenderedPageBreak/>
        <w:t>How are we addressing our gender pay gap?</w:t>
      </w:r>
    </w:p>
    <w:p w:rsidR="006963AC" w:rsidRDefault="006963AC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0666D">
        <w:rPr>
          <w:rFonts w:ascii="Arial" w:hAnsi="Arial" w:cs="Arial"/>
          <w:sz w:val="24"/>
          <w:szCs w:val="24"/>
        </w:rPr>
        <w:t xml:space="preserve">We will </w:t>
      </w:r>
      <w:r w:rsidR="00765128">
        <w:rPr>
          <w:rFonts w:ascii="Arial" w:hAnsi="Arial" w:cs="Arial"/>
          <w:sz w:val="24"/>
          <w:szCs w:val="24"/>
        </w:rPr>
        <w:t xml:space="preserve">continue to </w:t>
      </w:r>
      <w:r w:rsidRPr="0060666D">
        <w:rPr>
          <w:rFonts w:ascii="Arial" w:hAnsi="Arial" w:cs="Arial"/>
          <w:sz w:val="24"/>
          <w:szCs w:val="24"/>
        </w:rPr>
        <w:t>ensure gender equality is a major component of our Equalities Strategy</w:t>
      </w:r>
      <w:r w:rsidR="006C487E">
        <w:rPr>
          <w:rFonts w:ascii="Arial" w:hAnsi="Arial" w:cs="Arial"/>
          <w:sz w:val="24"/>
          <w:szCs w:val="24"/>
        </w:rPr>
        <w:t>.</w:t>
      </w:r>
    </w:p>
    <w:p w:rsidR="006963AC" w:rsidRPr="0060666D" w:rsidRDefault="00765128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we</w:t>
      </w:r>
      <w:r w:rsidR="006963AC" w:rsidRPr="0060666D">
        <w:rPr>
          <w:rFonts w:ascii="Arial" w:hAnsi="Arial" w:cs="Arial"/>
          <w:sz w:val="24"/>
          <w:szCs w:val="24"/>
        </w:rPr>
        <w:t xml:space="preserve"> will ensure all recruitment processes and documentation are gender neutral</w:t>
      </w:r>
      <w:r>
        <w:rPr>
          <w:rFonts w:ascii="Arial" w:hAnsi="Arial" w:cs="Arial"/>
          <w:sz w:val="24"/>
          <w:szCs w:val="24"/>
        </w:rPr>
        <w:t>, we will take positive action to highlight to applicants that we have lower representation at higher levels of pay</w:t>
      </w:r>
      <w:r w:rsidR="004A15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banding and in Clinical Excellence Awards</w:t>
      </w:r>
    </w:p>
    <w:p w:rsidR="006963AC" w:rsidRPr="0060666D" w:rsidRDefault="00765128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reviewed our flexible working policy in 2019, w</w:t>
      </w:r>
      <w:r w:rsidR="006963AC" w:rsidRPr="0060666D">
        <w:rPr>
          <w:rFonts w:ascii="Arial" w:hAnsi="Arial" w:cs="Arial"/>
          <w:sz w:val="24"/>
          <w:szCs w:val="24"/>
        </w:rPr>
        <w:t xml:space="preserve">e will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6963AC" w:rsidRPr="0060666D">
        <w:rPr>
          <w:rFonts w:ascii="Arial" w:hAnsi="Arial" w:cs="Arial"/>
          <w:sz w:val="24"/>
          <w:szCs w:val="24"/>
        </w:rPr>
        <w:t>emphasise the benefits of flexible working opportunities at all levels</w:t>
      </w:r>
      <w:r>
        <w:rPr>
          <w:rFonts w:ascii="Arial" w:hAnsi="Arial" w:cs="Arial"/>
          <w:sz w:val="24"/>
          <w:szCs w:val="24"/>
        </w:rPr>
        <w:t>, highlighting to staff that male use less flexible working arrangements than females</w:t>
      </w:r>
    </w:p>
    <w:p w:rsidR="006963AC" w:rsidRPr="0060666D" w:rsidRDefault="006963AC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0666D">
        <w:rPr>
          <w:rFonts w:ascii="Arial" w:hAnsi="Arial" w:cs="Arial"/>
          <w:sz w:val="24"/>
          <w:szCs w:val="24"/>
        </w:rPr>
        <w:t xml:space="preserve">We will </w:t>
      </w:r>
      <w:r w:rsidR="00765128">
        <w:rPr>
          <w:rFonts w:ascii="Arial" w:hAnsi="Arial" w:cs="Arial"/>
          <w:sz w:val="24"/>
          <w:szCs w:val="24"/>
        </w:rPr>
        <w:t xml:space="preserve">continue to regularly </w:t>
      </w:r>
      <w:r w:rsidRPr="0060666D">
        <w:rPr>
          <w:rFonts w:ascii="Arial" w:hAnsi="Arial" w:cs="Arial"/>
          <w:sz w:val="24"/>
          <w:szCs w:val="24"/>
        </w:rPr>
        <w:t>review the take-up of training and continuing professional development opportunities to ensure female colleagues are not disadvantaged compared to male colleagues</w:t>
      </w:r>
    </w:p>
    <w:p w:rsidR="006963AC" w:rsidRPr="0060666D" w:rsidRDefault="006963AC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0666D">
        <w:rPr>
          <w:rFonts w:ascii="Arial" w:hAnsi="Arial" w:cs="Arial"/>
          <w:sz w:val="24"/>
          <w:szCs w:val="24"/>
        </w:rPr>
        <w:t xml:space="preserve">We will </w:t>
      </w:r>
      <w:r w:rsidR="00765128">
        <w:rPr>
          <w:rFonts w:ascii="Arial" w:hAnsi="Arial" w:cs="Arial"/>
          <w:sz w:val="24"/>
          <w:szCs w:val="24"/>
        </w:rPr>
        <w:t>roll out new Equality and Diversity Training during 2020/21</w:t>
      </w:r>
    </w:p>
    <w:p w:rsidR="006963AC" w:rsidRPr="0060666D" w:rsidRDefault="006963AC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0666D">
        <w:rPr>
          <w:rFonts w:ascii="Arial" w:hAnsi="Arial" w:cs="Arial"/>
          <w:sz w:val="24"/>
          <w:szCs w:val="24"/>
        </w:rPr>
        <w:t xml:space="preserve">We will </w:t>
      </w:r>
      <w:r w:rsidR="00765128">
        <w:rPr>
          <w:rFonts w:ascii="Arial" w:hAnsi="Arial" w:cs="Arial"/>
          <w:sz w:val="24"/>
          <w:szCs w:val="24"/>
        </w:rPr>
        <w:t xml:space="preserve">annually </w:t>
      </w:r>
      <w:r w:rsidRPr="0060666D">
        <w:rPr>
          <w:rFonts w:ascii="Arial" w:hAnsi="Arial" w:cs="Arial"/>
          <w:sz w:val="24"/>
          <w:szCs w:val="24"/>
        </w:rPr>
        <w:t>review the Clinical Excellence Awards process to ascertain why there is a significant gap between awards to female and male Consultants</w:t>
      </w:r>
      <w:r w:rsidR="004A153C">
        <w:rPr>
          <w:rFonts w:ascii="Arial" w:hAnsi="Arial" w:cs="Arial"/>
          <w:sz w:val="24"/>
          <w:szCs w:val="24"/>
        </w:rPr>
        <w:t>. We will provide presentations, support and buddying for consultants applying for Clinical Excellence Awards</w:t>
      </w:r>
    </w:p>
    <w:p w:rsidR="006959C6" w:rsidRPr="0060666D" w:rsidRDefault="006963AC" w:rsidP="006C487E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0666D">
        <w:rPr>
          <w:rFonts w:ascii="Arial" w:hAnsi="Arial" w:cs="Arial"/>
          <w:sz w:val="24"/>
          <w:szCs w:val="24"/>
        </w:rPr>
        <w:t xml:space="preserve">We will continue to develop </w:t>
      </w:r>
      <w:r w:rsidR="004A153C">
        <w:rPr>
          <w:rFonts w:ascii="Arial" w:hAnsi="Arial" w:cs="Arial"/>
          <w:sz w:val="24"/>
          <w:szCs w:val="24"/>
        </w:rPr>
        <w:t xml:space="preserve">and support our </w:t>
      </w:r>
      <w:r w:rsidRPr="0060666D">
        <w:rPr>
          <w:rFonts w:ascii="Arial" w:hAnsi="Arial" w:cs="Arial"/>
          <w:sz w:val="24"/>
          <w:szCs w:val="24"/>
        </w:rPr>
        <w:t>Women’s Leadership Network</w:t>
      </w:r>
      <w:r w:rsidR="006C487E">
        <w:rPr>
          <w:rFonts w:ascii="Arial" w:hAnsi="Arial" w:cs="Arial"/>
          <w:sz w:val="24"/>
          <w:szCs w:val="24"/>
        </w:rPr>
        <w:t>.</w:t>
      </w:r>
    </w:p>
    <w:sectPr w:rsidR="006959C6" w:rsidRPr="0060666D" w:rsidSect="006963AC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AC" w:rsidRDefault="006963AC" w:rsidP="006963AC">
      <w:pPr>
        <w:spacing w:after="0" w:line="240" w:lineRule="auto"/>
      </w:pPr>
      <w:r>
        <w:separator/>
      </w:r>
    </w:p>
  </w:endnote>
  <w:endnote w:type="continuationSeparator" w:id="0">
    <w:p w:rsidR="006963AC" w:rsidRDefault="006963AC" w:rsidP="0069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AC" w:rsidRDefault="006963AC" w:rsidP="006963AC">
      <w:pPr>
        <w:spacing w:after="0" w:line="240" w:lineRule="auto"/>
      </w:pPr>
      <w:r>
        <w:separator/>
      </w:r>
    </w:p>
  </w:footnote>
  <w:footnote w:type="continuationSeparator" w:id="0">
    <w:p w:rsidR="006963AC" w:rsidRDefault="006963AC" w:rsidP="0069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C" w:rsidRDefault="006963AC">
    <w:pPr>
      <w:pStyle w:val="Header"/>
    </w:pPr>
  </w:p>
  <w:p w:rsidR="006963AC" w:rsidRDefault="00696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C" w:rsidRDefault="006963AC">
    <w:pPr>
      <w:pStyle w:val="Header"/>
    </w:pPr>
    <w:r w:rsidRPr="001A7499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586858CA" wp14:editId="36232AB4">
          <wp:simplePos x="0" y="0"/>
          <wp:positionH relativeFrom="column">
            <wp:posOffset>-733425</wp:posOffset>
          </wp:positionH>
          <wp:positionV relativeFrom="paragraph">
            <wp:posOffset>-192405</wp:posOffset>
          </wp:positionV>
          <wp:extent cx="7239000" cy="1628775"/>
          <wp:effectExtent l="0" t="0" r="0" b="9525"/>
          <wp:wrapNone/>
          <wp:docPr id="9" name="Picture 3" descr="2gether-NHS-Foundation-Trust_corporate-logo_top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gether-NHS-Foundation-Trust_corporate-logo_top-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707"/>
    <w:multiLevelType w:val="hybridMultilevel"/>
    <w:tmpl w:val="7EF2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0"/>
    <w:rsid w:val="002461DD"/>
    <w:rsid w:val="00263231"/>
    <w:rsid w:val="00274CFD"/>
    <w:rsid w:val="00276BE0"/>
    <w:rsid w:val="002D3402"/>
    <w:rsid w:val="00372EB4"/>
    <w:rsid w:val="003A10F3"/>
    <w:rsid w:val="00424A5E"/>
    <w:rsid w:val="00462D4D"/>
    <w:rsid w:val="004A153C"/>
    <w:rsid w:val="004A2448"/>
    <w:rsid w:val="00534A5F"/>
    <w:rsid w:val="005D55A1"/>
    <w:rsid w:val="0060666D"/>
    <w:rsid w:val="006959C6"/>
    <w:rsid w:val="006963AC"/>
    <w:rsid w:val="006C487E"/>
    <w:rsid w:val="006E18D0"/>
    <w:rsid w:val="00761258"/>
    <w:rsid w:val="00762532"/>
    <w:rsid w:val="00765128"/>
    <w:rsid w:val="007A4D55"/>
    <w:rsid w:val="007A51BA"/>
    <w:rsid w:val="007F0CEC"/>
    <w:rsid w:val="00814202"/>
    <w:rsid w:val="00820CD2"/>
    <w:rsid w:val="008526A3"/>
    <w:rsid w:val="00861855"/>
    <w:rsid w:val="008E12EA"/>
    <w:rsid w:val="009347FC"/>
    <w:rsid w:val="009773F3"/>
    <w:rsid w:val="009A0D54"/>
    <w:rsid w:val="00A2451D"/>
    <w:rsid w:val="00A45967"/>
    <w:rsid w:val="00A846B2"/>
    <w:rsid w:val="00B04613"/>
    <w:rsid w:val="00B37E07"/>
    <w:rsid w:val="00B76181"/>
    <w:rsid w:val="00B83742"/>
    <w:rsid w:val="00BD26E4"/>
    <w:rsid w:val="00C6528F"/>
    <w:rsid w:val="00C70856"/>
    <w:rsid w:val="00C7249A"/>
    <w:rsid w:val="00D94002"/>
    <w:rsid w:val="00DE2DBF"/>
    <w:rsid w:val="00E02218"/>
    <w:rsid w:val="00E34C5B"/>
    <w:rsid w:val="00E741F4"/>
    <w:rsid w:val="00EC12F7"/>
    <w:rsid w:val="00F11560"/>
    <w:rsid w:val="00F13A05"/>
    <w:rsid w:val="00F27167"/>
    <w:rsid w:val="00F4402B"/>
    <w:rsid w:val="00F45C23"/>
    <w:rsid w:val="00F75E27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DACA"/>
  <w15:docId w15:val="{F4C22BC6-5F23-4698-971E-E4B6B3C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AC"/>
  </w:style>
  <w:style w:type="paragraph" w:styleId="Footer">
    <w:name w:val="footer"/>
    <w:basedOn w:val="Normal"/>
    <w:link w:val="FooterChar"/>
    <w:uiPriority w:val="99"/>
    <w:unhideWhenUsed/>
    <w:rsid w:val="0069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AC"/>
  </w:style>
  <w:style w:type="table" w:styleId="TableGrid">
    <w:name w:val="Table Grid"/>
    <w:basedOn w:val="TableNormal"/>
    <w:uiPriority w:val="59"/>
    <w:rsid w:val="006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Grubb Nick</dc:creator>
  <cp:lastModifiedBy>Savage Neil</cp:lastModifiedBy>
  <cp:revision>2</cp:revision>
  <cp:lastPrinted>2019-03-06T13:20:00Z</cp:lastPrinted>
  <dcterms:created xsi:type="dcterms:W3CDTF">2020-04-02T16:42:00Z</dcterms:created>
  <dcterms:modified xsi:type="dcterms:W3CDTF">2020-04-02T16:42:00Z</dcterms:modified>
</cp:coreProperties>
</file>