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4228" w:right="3867" w:firstLine="0"/>
        <w:jc w:val="center"/>
        <w:rPr>
          <w:sz w:val="28"/>
        </w:rPr>
      </w:pPr>
      <w:r>
        <w:rPr/>
        <w:pict>
          <v:rect style="position:absolute;margin-left:576pt;margin-top:20.101862pt;width:35.9pt;height:27.2pt;mso-position-horizontal-relative:page;mso-position-vertical-relative:paragraph;z-index:-251789312" filled="true" fillcolor="#ffffff" stroked="false">
            <v:fill type="solid"/>
            <w10:wrap type="none"/>
          </v:rect>
        </w:pict>
      </w:r>
      <w:r>
        <w:rPr>
          <w:color w:val="33CCCC"/>
          <w:sz w:val="28"/>
        </w:rPr>
        <w:t>10 key Points on Consent and People with Learning Disabilities</w:t>
      </w:r>
    </w:p>
    <w:p>
      <w:pPr>
        <w:spacing w:after="0"/>
        <w:jc w:val="center"/>
        <w:rPr>
          <w:sz w:val="28"/>
        </w:rPr>
        <w:sectPr>
          <w:type w:val="continuous"/>
          <w:pgSz w:w="16840" w:h="11910" w:orient="landscape"/>
          <w:pgMar w:top="140" w:bottom="280" w:left="220" w:right="640"/>
        </w:sectPr>
      </w:pPr>
    </w:p>
    <w:p>
      <w:pPr>
        <w:pStyle w:val="BodyText"/>
        <w:spacing w:before="147"/>
        <w:ind w:right="89"/>
        <w:jc w:val="right"/>
      </w:pPr>
      <w:r>
        <w:rPr/>
        <w:pict>
          <v:shapetype id="_x0000_t202" o:spt="202" coordsize="21600,21600" path="m,l,21600r21600,l21600,xe">
            <v:stroke joinstyle="miter"/>
            <v:path gradientshapeok="t" o:connecttype="rect"/>
          </v:shapetype>
          <v:shape style="position:absolute;margin-left:53.950001pt;margin-top:9.069856pt;width:170.95pt;height:19.850pt;mso-position-horizontal-relative:page;mso-position-vertical-relative:paragraph;z-index:251666432" type="#_x0000_t202" filled="true" fillcolor="#ccffff" stroked="true" strokeweight=".75pt" strokecolor="#000000">
            <v:textbox inset="0,0,0,0">
              <w:txbxContent>
                <w:p>
                  <w:pPr>
                    <w:pStyle w:val="BodyText"/>
                    <w:spacing w:before="73"/>
                    <w:ind w:left="144"/>
                    <w:rPr>
                      <w:b/>
                    </w:rPr>
                  </w:pPr>
                  <w:r>
                    <w:rPr/>
                    <w:t>WHO CAN GIVE CONSENT</w:t>
                  </w:r>
                  <w:r>
                    <w:rPr>
                      <w:b/>
                    </w:rPr>
                    <w:t>?</w:t>
                  </w:r>
                </w:p>
              </w:txbxContent>
            </v:textbox>
            <v:fill type="solid"/>
            <v:stroke dashstyle="solid"/>
            <w10:wrap type="none"/>
          </v:shape>
        </w:pict>
      </w:r>
      <w:r>
        <w:rPr>
          <w:w w:val="95"/>
        </w:rPr>
        <w:t>5.</w:t>
      </w:r>
    </w:p>
    <w:p>
      <w:pPr>
        <w:pStyle w:val="BodyText"/>
        <w:rPr>
          <w:sz w:val="22"/>
        </w:rPr>
      </w:pPr>
    </w:p>
    <w:p>
      <w:pPr>
        <w:pStyle w:val="ListParagraph"/>
        <w:numPr>
          <w:ilvl w:val="0"/>
          <w:numId w:val="1"/>
        </w:numPr>
        <w:tabs>
          <w:tab w:pos="823" w:val="left" w:leader="none"/>
          <w:tab w:pos="824" w:val="left" w:leader="none"/>
        </w:tabs>
        <w:spacing w:line="240" w:lineRule="auto" w:before="163" w:after="0"/>
        <w:ind w:left="824" w:right="38" w:hanging="720"/>
        <w:jc w:val="left"/>
        <w:rPr>
          <w:sz w:val="20"/>
        </w:rPr>
      </w:pPr>
      <w:r>
        <w:rPr>
          <w:sz w:val="20"/>
        </w:rPr>
        <w:t>No-one can give consent on behalf of another adult with learning disabilities. Parents/relatives or carers should not be</w:t>
      </w:r>
      <w:r>
        <w:rPr>
          <w:spacing w:val="-14"/>
          <w:sz w:val="20"/>
        </w:rPr>
        <w:t> </w:t>
      </w:r>
      <w:r>
        <w:rPr>
          <w:sz w:val="20"/>
        </w:rPr>
        <w:t>asked to sign consent</w:t>
      </w:r>
      <w:r>
        <w:rPr>
          <w:spacing w:val="-4"/>
          <w:sz w:val="20"/>
        </w:rPr>
        <w:t> </w:t>
      </w:r>
      <w:r>
        <w:rPr>
          <w:sz w:val="20"/>
        </w:rPr>
        <w:t>forms.</w:t>
      </w:r>
    </w:p>
    <w:p>
      <w:pPr>
        <w:pStyle w:val="BodyText"/>
        <w:spacing w:before="6"/>
        <w:rPr>
          <w:sz w:val="29"/>
        </w:rPr>
      </w:pPr>
    </w:p>
    <w:p>
      <w:pPr>
        <w:pStyle w:val="ListParagraph"/>
        <w:numPr>
          <w:ilvl w:val="0"/>
          <w:numId w:val="1"/>
        </w:numPr>
        <w:tabs>
          <w:tab w:pos="823" w:val="left" w:leader="none"/>
          <w:tab w:pos="824" w:val="left" w:leader="none"/>
        </w:tabs>
        <w:spacing w:line="240" w:lineRule="auto" w:before="1" w:after="0"/>
        <w:ind w:left="824" w:right="395" w:hanging="720"/>
        <w:jc w:val="left"/>
        <w:rPr>
          <w:sz w:val="20"/>
        </w:rPr>
      </w:pPr>
      <w:r>
        <w:rPr>
          <w:sz w:val="20"/>
        </w:rPr>
        <w:t>It must be assumed that every adult has the capacity to consent. The presence of </w:t>
      </w:r>
      <w:r>
        <w:rPr>
          <w:spacing w:val="-12"/>
          <w:sz w:val="20"/>
        </w:rPr>
        <w:t>a </w:t>
      </w:r>
      <w:r>
        <w:rPr>
          <w:sz w:val="20"/>
        </w:rPr>
        <w:t>learning disability or a communication difficulty does not in itself imply</w:t>
      </w:r>
      <w:r>
        <w:rPr>
          <w:spacing w:val="-14"/>
          <w:sz w:val="20"/>
        </w:rPr>
        <w:t> </w:t>
      </w:r>
      <w:r>
        <w:rPr>
          <w:sz w:val="20"/>
        </w:rPr>
        <w:t>incapacity.</w:t>
      </w:r>
    </w:p>
    <w:p>
      <w:pPr>
        <w:pStyle w:val="BodyText"/>
        <w:spacing w:before="74"/>
        <w:ind w:left="103"/>
      </w:pPr>
      <w:r>
        <w:rPr/>
        <w:br w:type="column"/>
      </w:r>
      <w:r>
        <w:rPr/>
        <w:t>To enable patients with a learning disability to make valid decision </w:t>
      </w:r>
      <w:r>
        <w:rPr>
          <w:position w:val="3"/>
        </w:rPr>
        <w:t>8. </w:t>
      </w:r>
      <w:r>
        <w:rPr/>
        <w:t>about their health, capacity can be maximised by using the</w:t>
      </w:r>
    </w:p>
    <w:p>
      <w:pPr>
        <w:pStyle w:val="BodyText"/>
        <w:spacing w:line="229" w:lineRule="exact" w:before="1"/>
        <w:ind w:left="103"/>
      </w:pPr>
      <w:r>
        <w:rPr/>
        <w:pict>
          <v:shape style="position:absolute;margin-left:575.099365pt;margin-top:-22.646631pt;width:5pt;height:11.15pt;mso-position-horizontal-relative:page;mso-position-vertical-relative:paragraph;z-index:-251791360" type="#_x0000_t202" filled="false" stroked="false">
            <v:textbox inset="0,0,0,0">
              <w:txbxContent>
                <w:p>
                  <w:pPr>
                    <w:pStyle w:val="BodyText"/>
                    <w:spacing w:line="223" w:lineRule="exact"/>
                  </w:pPr>
                  <w:r>
                    <w:rPr>
                      <w:w w:val="99"/>
                    </w:rPr>
                    <w:t>s</w:t>
                  </w:r>
                </w:p>
              </w:txbxContent>
            </v:textbox>
            <w10:wrap type="none"/>
          </v:shape>
        </w:pict>
      </w:r>
      <w:r>
        <w:rPr/>
        <w:t>following techniques:</w:t>
      </w:r>
    </w:p>
    <w:p>
      <w:pPr>
        <w:pStyle w:val="ListParagraph"/>
        <w:numPr>
          <w:ilvl w:val="1"/>
          <w:numId w:val="1"/>
        </w:numPr>
        <w:tabs>
          <w:tab w:pos="823" w:val="left" w:leader="none"/>
          <w:tab w:pos="824" w:val="left" w:leader="none"/>
        </w:tabs>
        <w:spacing w:line="230" w:lineRule="exact" w:before="0" w:after="0"/>
        <w:ind w:left="824" w:right="0" w:hanging="361"/>
        <w:jc w:val="left"/>
        <w:rPr>
          <w:sz w:val="20"/>
        </w:rPr>
      </w:pPr>
      <w:r>
        <w:rPr>
          <w:sz w:val="20"/>
        </w:rPr>
        <w:t>Using simple language, (key</w:t>
      </w:r>
      <w:r>
        <w:rPr>
          <w:spacing w:val="-5"/>
          <w:sz w:val="20"/>
        </w:rPr>
        <w:t> </w:t>
      </w:r>
      <w:r>
        <w:rPr>
          <w:sz w:val="20"/>
        </w:rPr>
        <w:t>words).</w:t>
      </w:r>
    </w:p>
    <w:p>
      <w:pPr>
        <w:pStyle w:val="ListParagraph"/>
        <w:numPr>
          <w:ilvl w:val="1"/>
          <w:numId w:val="1"/>
        </w:numPr>
        <w:tabs>
          <w:tab w:pos="823" w:val="left" w:leader="none"/>
          <w:tab w:pos="824" w:val="left" w:leader="none"/>
        </w:tabs>
        <w:spacing w:line="240" w:lineRule="auto" w:before="0" w:after="0"/>
        <w:ind w:left="823" w:right="236" w:hanging="360"/>
        <w:jc w:val="left"/>
        <w:rPr>
          <w:sz w:val="20"/>
        </w:rPr>
      </w:pPr>
      <w:r>
        <w:rPr>
          <w:sz w:val="20"/>
        </w:rPr>
        <w:t>Using illustrations, photographs or practical</w:t>
      </w:r>
      <w:r>
        <w:rPr>
          <w:spacing w:val="-17"/>
          <w:sz w:val="20"/>
        </w:rPr>
        <w:t> </w:t>
      </w:r>
      <w:r>
        <w:rPr>
          <w:sz w:val="20"/>
        </w:rPr>
        <w:t>demonstrations (role</w:t>
      </w:r>
      <w:r>
        <w:rPr>
          <w:spacing w:val="-2"/>
          <w:sz w:val="20"/>
        </w:rPr>
        <w:t> </w:t>
      </w:r>
      <w:r>
        <w:rPr>
          <w:sz w:val="20"/>
        </w:rPr>
        <w:t>play).</w:t>
      </w:r>
    </w:p>
    <w:p>
      <w:pPr>
        <w:pStyle w:val="ListParagraph"/>
        <w:numPr>
          <w:ilvl w:val="1"/>
          <w:numId w:val="1"/>
        </w:numPr>
        <w:tabs>
          <w:tab w:pos="823" w:val="left" w:leader="none"/>
          <w:tab w:pos="824" w:val="left" w:leader="none"/>
        </w:tabs>
        <w:spacing w:line="231" w:lineRule="exact" w:before="0" w:after="0"/>
        <w:ind w:left="824" w:right="0" w:hanging="361"/>
        <w:jc w:val="left"/>
        <w:rPr>
          <w:sz w:val="20"/>
        </w:rPr>
      </w:pPr>
      <w:r>
        <w:rPr>
          <w:sz w:val="20"/>
        </w:rPr>
        <w:t>Present information in small</w:t>
      </w:r>
      <w:r>
        <w:rPr>
          <w:spacing w:val="-4"/>
          <w:sz w:val="20"/>
        </w:rPr>
        <w:t> </w:t>
      </w:r>
      <w:r>
        <w:rPr>
          <w:sz w:val="20"/>
        </w:rPr>
        <w:t>chunks.</w:t>
      </w:r>
    </w:p>
    <w:p>
      <w:pPr>
        <w:pStyle w:val="ListParagraph"/>
        <w:numPr>
          <w:ilvl w:val="1"/>
          <w:numId w:val="1"/>
        </w:numPr>
        <w:tabs>
          <w:tab w:pos="823" w:val="left" w:leader="none"/>
          <w:tab w:pos="824" w:val="left" w:leader="none"/>
        </w:tabs>
        <w:spacing w:line="230" w:lineRule="exact" w:before="0" w:after="0"/>
        <w:ind w:left="824" w:right="0" w:hanging="361"/>
        <w:jc w:val="left"/>
        <w:rPr>
          <w:sz w:val="20"/>
        </w:rPr>
      </w:pPr>
      <w:r>
        <w:rPr>
          <w:sz w:val="20"/>
        </w:rPr>
        <w:t>Allow plenty of time and encourage question</w:t>
      </w:r>
      <w:r>
        <w:rPr>
          <w:spacing w:val="-6"/>
          <w:sz w:val="20"/>
        </w:rPr>
        <w:t> </w:t>
      </w:r>
      <w:r>
        <w:rPr>
          <w:sz w:val="20"/>
        </w:rPr>
        <w:t>asking.</w:t>
      </w:r>
    </w:p>
    <w:p>
      <w:pPr>
        <w:pStyle w:val="ListParagraph"/>
        <w:numPr>
          <w:ilvl w:val="1"/>
          <w:numId w:val="1"/>
        </w:numPr>
        <w:tabs>
          <w:tab w:pos="823" w:val="left" w:leader="none"/>
          <w:tab w:pos="824" w:val="left" w:leader="none"/>
        </w:tabs>
        <w:spacing w:line="240" w:lineRule="auto" w:before="0" w:after="0"/>
        <w:ind w:left="823" w:right="222" w:hanging="360"/>
        <w:jc w:val="left"/>
        <w:rPr>
          <w:sz w:val="20"/>
        </w:rPr>
      </w:pPr>
      <w:r>
        <w:rPr>
          <w:sz w:val="20"/>
        </w:rPr>
        <w:t>Check level of understanding using the preferred method</w:t>
      </w:r>
      <w:r>
        <w:rPr>
          <w:spacing w:val="-13"/>
          <w:sz w:val="20"/>
        </w:rPr>
        <w:t> </w:t>
      </w:r>
      <w:r>
        <w:rPr>
          <w:sz w:val="20"/>
        </w:rPr>
        <w:t>of communication.</w:t>
      </w:r>
    </w:p>
    <w:p>
      <w:pPr>
        <w:pStyle w:val="BodyText"/>
        <w:spacing w:before="3" w:after="40"/>
        <w:rPr>
          <w:sz w:val="9"/>
        </w:rPr>
      </w:pPr>
    </w:p>
    <w:p>
      <w:pPr>
        <w:pStyle w:val="BodyText"/>
        <w:ind w:left="143"/>
      </w:pPr>
      <w:r>
        <w:rPr>
          <w:position w:val="0"/>
        </w:rPr>
        <w:pict>
          <v:shape style="width:126pt;height:19.850pt;mso-position-horizontal-relative:char;mso-position-vertical-relative:line" type="#_x0000_t202" filled="true" fillcolor="#ccffff" stroked="true" strokeweight=".75pt" strokecolor="#000000">
            <w10:anchorlock/>
            <v:textbox inset="0,0,0,0">
              <w:txbxContent>
                <w:p>
                  <w:pPr>
                    <w:pStyle w:val="BodyText"/>
                    <w:spacing w:before="73"/>
                    <w:ind w:left="146"/>
                    <w:rPr>
                      <w:b/>
                    </w:rPr>
                  </w:pPr>
                  <w:r>
                    <w:rPr/>
                    <w:t>WHO DECIDES</w:t>
                  </w:r>
                  <w:r>
                    <w:rPr>
                      <w:b/>
                    </w:rPr>
                    <w:t>?</w:t>
                  </w:r>
                </w:p>
              </w:txbxContent>
            </v:textbox>
            <v:fill type="solid"/>
            <v:stroke dashstyle="solid"/>
          </v:shape>
        </w:pict>
      </w:r>
      <w:r>
        <w:rPr>
          <w:position w:val="0"/>
        </w:rPr>
      </w:r>
    </w:p>
    <w:p>
      <w:pPr>
        <w:spacing w:line="229" w:lineRule="exact" w:before="73"/>
        <w:ind w:left="104" w:right="0" w:firstLine="0"/>
        <w:jc w:val="left"/>
        <w:rPr>
          <w:sz w:val="20"/>
        </w:rPr>
      </w:pPr>
      <w:r>
        <w:rPr/>
        <w:br w:type="column"/>
      </w:r>
      <w:r>
        <w:rPr>
          <w:b/>
          <w:sz w:val="20"/>
        </w:rPr>
        <w:t>DOH CONSENT FORM 4 </w:t>
      </w:r>
      <w:r>
        <w:rPr>
          <w:sz w:val="20"/>
        </w:rPr>
        <w:t>– for</w:t>
      </w:r>
    </w:p>
    <w:p>
      <w:pPr>
        <w:pStyle w:val="BodyText"/>
        <w:ind w:left="104" w:right="502"/>
      </w:pPr>
      <w:r>
        <w:rPr/>
        <w:t>adults who are unable to consent to investigation or treatment. This form must be completed for every </w:t>
      </w:r>
      <w:r>
        <w:rPr>
          <w:u w:val="single"/>
        </w:rPr>
        <w:t>significant intervention</w:t>
      </w:r>
      <w:r>
        <w:rPr/>
        <w:t>/procedure carried out on a patient who does not demonstrate the capacity to give or withhold their consent</w:t>
      </w:r>
    </w:p>
    <w:p>
      <w:pPr>
        <w:pStyle w:val="BodyText"/>
      </w:pPr>
    </w:p>
    <w:p>
      <w:pPr>
        <w:pStyle w:val="BodyText"/>
      </w:pPr>
    </w:p>
    <w:p>
      <w:pPr>
        <w:pStyle w:val="BodyText"/>
        <w:spacing w:before="8"/>
        <w:rPr>
          <w:sz w:val="15"/>
        </w:rPr>
      </w:pPr>
    </w:p>
    <w:p>
      <w:pPr>
        <w:pStyle w:val="BodyText"/>
        <w:ind w:left="-52"/>
      </w:pPr>
      <w:r>
        <w:rPr>
          <w:position w:val="0"/>
        </w:rPr>
        <w:pict>
          <v:shape style="width:153pt;height:19.850pt;mso-position-horizontal-relative:char;mso-position-vertical-relative:line" type="#_x0000_t202" filled="true" fillcolor="#ccffff" stroked="true" strokeweight=".75pt" strokecolor="#000000">
            <w10:anchorlock/>
            <v:textbox inset="0,0,0,0">
              <w:txbxContent>
                <w:p>
                  <w:pPr>
                    <w:pStyle w:val="BodyText"/>
                    <w:spacing w:before="73"/>
                    <w:ind w:left="147"/>
                  </w:pPr>
                  <w:r>
                    <w:rPr/>
                    <w:t>ADVANCE DIRECTIVES</w:t>
                  </w:r>
                </w:p>
              </w:txbxContent>
            </v:textbox>
            <v:fill type="solid"/>
            <v:stroke dashstyle="solid"/>
          </v:shape>
        </w:pict>
      </w:r>
      <w:r>
        <w:rPr>
          <w:position w:val="0"/>
        </w:rPr>
      </w:r>
    </w:p>
    <w:p>
      <w:pPr>
        <w:spacing w:after="0"/>
        <w:sectPr>
          <w:type w:val="continuous"/>
          <w:pgSz w:w="16840" w:h="11910" w:orient="landscape"/>
          <w:pgMar w:top="140" w:bottom="280" w:left="220" w:right="640"/>
          <w:cols w:num="3" w:equalWidth="0">
            <w:col w:w="5042" w:space="306"/>
            <w:col w:w="6304" w:space="410"/>
            <w:col w:w="3918"/>
          </w:cols>
        </w:sectPr>
      </w:pPr>
    </w:p>
    <w:p>
      <w:pPr>
        <w:pStyle w:val="BodyText"/>
        <w:tabs>
          <w:tab w:pos="4784" w:val="left" w:leader="none"/>
        </w:tabs>
        <w:spacing w:line="184" w:lineRule="auto" w:before="23"/>
        <w:ind w:left="824" w:right="124"/>
      </w:pPr>
      <w:r>
        <w:rPr/>
        <w:t>Many people with learning disabilities can make decisions and express</w:t>
      </w:r>
      <w:r>
        <w:rPr>
          <w:spacing w:val="-8"/>
        </w:rPr>
        <w:t> </w:t>
      </w:r>
      <w:r>
        <w:rPr/>
        <w:t>their</w:t>
      </w:r>
      <w:r>
        <w:rPr>
          <w:spacing w:val="-2"/>
        </w:rPr>
        <w:t> </w:t>
      </w:r>
      <w:r>
        <w:rPr/>
        <w:t>choices</w:t>
        <w:tab/>
      </w:r>
      <w:r>
        <w:rPr>
          <w:spacing w:val="-9"/>
          <w:position w:val="7"/>
        </w:rPr>
        <w:t>6.</w:t>
      </w:r>
    </w:p>
    <w:p>
      <w:pPr>
        <w:pStyle w:val="BodyText"/>
        <w:spacing w:line="237" w:lineRule="auto"/>
        <w:ind w:left="824" w:right="1509"/>
      </w:pPr>
      <w:r>
        <w:rPr/>
        <w:t>through non-verbal methods of communication.</w:t>
      </w:r>
    </w:p>
    <w:p>
      <w:pPr>
        <w:pStyle w:val="BodyText"/>
        <w:spacing w:before="8"/>
        <w:rPr>
          <w:sz w:val="19"/>
        </w:rPr>
      </w:pPr>
    </w:p>
    <w:p>
      <w:pPr>
        <w:pStyle w:val="BodyText"/>
        <w:spacing w:before="1"/>
        <w:ind w:left="824" w:right="448"/>
      </w:pPr>
      <w:r>
        <w:rPr/>
        <w:t>Consent can be given non-verbally, verbally or in writing.</w:t>
      </w:r>
    </w:p>
    <w:p>
      <w:pPr>
        <w:pStyle w:val="BodyText"/>
        <w:spacing w:before="1"/>
      </w:pPr>
      <w:r>
        <w:rPr/>
        <w:pict>
          <v:shape style="position:absolute;margin-left:53.950001pt;margin-top:13.901319pt;width:126pt;height:19.9pt;mso-position-horizontal-relative:page;mso-position-vertical-relative:paragraph;z-index:-251656192;mso-wrap-distance-left:0;mso-wrap-distance-right:0" type="#_x0000_t202" filled="true" fillcolor="#ccffff" stroked="true" strokeweight=".75pt" strokecolor="#000000">
            <v:textbox inset="0,0,0,0">
              <w:txbxContent>
                <w:p>
                  <w:pPr>
                    <w:pStyle w:val="BodyText"/>
                    <w:spacing w:before="73"/>
                    <w:ind w:left="144"/>
                  </w:pPr>
                  <w:r>
                    <w:rPr/>
                    <w:t>VALID CONSENT</w:t>
                  </w:r>
                </w:p>
              </w:txbxContent>
            </v:textbox>
            <v:fill type="solid"/>
            <v:stroke dashstyle="solid"/>
            <w10:wrap type="topAndBottom"/>
          </v:shape>
        </w:pict>
      </w:r>
    </w:p>
    <w:p>
      <w:pPr>
        <w:pStyle w:val="ListParagraph"/>
        <w:numPr>
          <w:ilvl w:val="0"/>
          <w:numId w:val="1"/>
        </w:numPr>
        <w:tabs>
          <w:tab w:pos="823" w:val="left" w:leader="none"/>
          <w:tab w:pos="824" w:val="left" w:leader="none"/>
          <w:tab w:pos="4871" w:val="left" w:leader="none"/>
        </w:tabs>
        <w:spacing w:line="369" w:lineRule="exact" w:before="38" w:after="0"/>
        <w:ind w:left="824" w:right="0" w:hanging="721"/>
        <w:jc w:val="left"/>
        <w:rPr>
          <w:sz w:val="20"/>
        </w:rPr>
      </w:pPr>
      <w:r>
        <w:rPr>
          <w:sz w:val="20"/>
        </w:rPr>
        <w:t>A signature on a consent form</w:t>
      </w:r>
      <w:r>
        <w:rPr>
          <w:spacing w:val="-6"/>
          <w:sz w:val="20"/>
        </w:rPr>
        <w:t> </w:t>
      </w:r>
      <w:r>
        <w:rPr>
          <w:sz w:val="20"/>
        </w:rPr>
        <w:t>does</w:t>
      </w:r>
      <w:r>
        <w:rPr>
          <w:spacing w:val="-2"/>
          <w:sz w:val="20"/>
        </w:rPr>
        <w:t> </w:t>
      </w:r>
      <w:r>
        <w:rPr>
          <w:sz w:val="20"/>
        </w:rPr>
        <w:t>not</w:t>
        <w:tab/>
      </w:r>
      <w:r>
        <w:rPr>
          <w:position w:val="14"/>
          <w:sz w:val="20"/>
        </w:rPr>
        <w:t>7.</w:t>
      </w:r>
    </w:p>
    <w:p>
      <w:pPr>
        <w:pStyle w:val="BodyText"/>
        <w:ind w:left="824" w:right="448"/>
      </w:pPr>
      <w:r>
        <w:rPr/>
        <w:t>itself prove that consent is valid. To give valid consent a person must be able to demonstrate the following 4 stages:</w:t>
      </w:r>
    </w:p>
    <w:p>
      <w:pPr>
        <w:pStyle w:val="ListParagraph"/>
        <w:numPr>
          <w:ilvl w:val="0"/>
          <w:numId w:val="2"/>
        </w:numPr>
        <w:tabs>
          <w:tab w:pos="1333" w:val="left" w:leader="none"/>
        </w:tabs>
        <w:spacing w:line="240" w:lineRule="auto" w:before="1" w:after="0"/>
        <w:ind w:left="824" w:right="751" w:firstLine="276"/>
        <w:jc w:val="left"/>
        <w:rPr>
          <w:sz w:val="20"/>
        </w:rPr>
      </w:pPr>
      <w:r>
        <w:rPr>
          <w:sz w:val="20"/>
        </w:rPr>
        <w:t>Understand and retain the Should this be written as it is presented in the MCA 2005 in section 3</w:t>
      </w:r>
      <w:r>
        <w:rPr>
          <w:spacing w:val="-3"/>
          <w:sz w:val="20"/>
        </w:rPr>
        <w:t> </w:t>
      </w:r>
      <w:r>
        <w:rPr>
          <w:sz w:val="20"/>
        </w:rPr>
        <w:t>(1)?</w:t>
      </w:r>
    </w:p>
    <w:p>
      <w:pPr>
        <w:pStyle w:val="BodyText"/>
        <w:spacing w:line="229" w:lineRule="exact"/>
        <w:ind w:left="1323"/>
      </w:pPr>
      <w:r>
        <w:rPr/>
        <w:t>information.</w:t>
      </w:r>
    </w:p>
    <w:p>
      <w:pPr>
        <w:pStyle w:val="ListParagraph"/>
        <w:numPr>
          <w:ilvl w:val="0"/>
          <w:numId w:val="2"/>
        </w:numPr>
        <w:tabs>
          <w:tab w:pos="1334" w:val="left" w:leader="none"/>
        </w:tabs>
        <w:spacing w:line="240" w:lineRule="auto" w:before="0" w:after="0"/>
        <w:ind w:left="1333" w:right="0" w:hanging="234"/>
        <w:jc w:val="left"/>
        <w:rPr>
          <w:sz w:val="20"/>
        </w:rPr>
      </w:pPr>
      <w:r>
        <w:rPr>
          <w:sz w:val="20"/>
        </w:rPr>
        <w:t>Communicate their</w:t>
      </w:r>
      <w:r>
        <w:rPr>
          <w:spacing w:val="-2"/>
          <w:sz w:val="20"/>
        </w:rPr>
        <w:t> </w:t>
      </w:r>
      <w:r>
        <w:rPr>
          <w:sz w:val="20"/>
        </w:rPr>
        <w:t>choice.</w:t>
      </w:r>
    </w:p>
    <w:p>
      <w:pPr>
        <w:pStyle w:val="ListParagraph"/>
        <w:numPr>
          <w:ilvl w:val="0"/>
          <w:numId w:val="2"/>
        </w:numPr>
        <w:tabs>
          <w:tab w:pos="1323" w:val="left" w:leader="none"/>
        </w:tabs>
        <w:spacing w:line="240" w:lineRule="auto" w:before="0" w:after="0"/>
        <w:ind w:left="1323" w:right="939" w:hanging="224"/>
        <w:jc w:val="left"/>
        <w:rPr>
          <w:sz w:val="20"/>
        </w:rPr>
      </w:pPr>
      <w:r>
        <w:rPr>
          <w:sz w:val="20"/>
        </w:rPr>
        <w:t>Understand the risks, benefits, alternatives and</w:t>
      </w:r>
      <w:r>
        <w:rPr>
          <w:spacing w:val="-16"/>
          <w:sz w:val="20"/>
        </w:rPr>
        <w:t> </w:t>
      </w:r>
      <w:r>
        <w:rPr>
          <w:sz w:val="20"/>
        </w:rPr>
        <w:t>consequences.</w:t>
      </w:r>
    </w:p>
    <w:p>
      <w:pPr>
        <w:pStyle w:val="ListParagraph"/>
        <w:numPr>
          <w:ilvl w:val="0"/>
          <w:numId w:val="2"/>
        </w:numPr>
        <w:tabs>
          <w:tab w:pos="1331" w:val="left" w:leader="none"/>
        </w:tabs>
        <w:spacing w:line="200" w:lineRule="exact" w:before="1" w:after="0"/>
        <w:ind w:left="1330" w:right="0" w:hanging="231"/>
        <w:jc w:val="left"/>
        <w:rPr>
          <w:sz w:val="20"/>
        </w:rPr>
      </w:pPr>
      <w:r>
        <w:rPr>
          <w:sz w:val="20"/>
        </w:rPr>
        <w:t>Weigh up the information to make</w:t>
      </w:r>
      <w:r>
        <w:rPr>
          <w:spacing w:val="-2"/>
          <w:sz w:val="20"/>
        </w:rPr>
        <w:t> </w:t>
      </w:r>
      <w:r>
        <w:rPr>
          <w:sz w:val="20"/>
        </w:rPr>
        <w:t>a</w:t>
      </w:r>
    </w:p>
    <w:p>
      <w:pPr>
        <w:pStyle w:val="BodyText"/>
        <w:spacing w:line="174" w:lineRule="exact"/>
        <w:ind w:left="103"/>
      </w:pPr>
      <w:r>
        <w:rPr/>
        <w:t>4.</w:t>
      </w:r>
    </w:p>
    <w:p>
      <w:pPr>
        <w:pStyle w:val="BodyText"/>
        <w:spacing w:line="204" w:lineRule="exact"/>
        <w:ind w:left="824"/>
      </w:pPr>
      <w:r>
        <w:rPr/>
        <w:t>For consent to be valid it must be</w:t>
      </w:r>
    </w:p>
    <w:p>
      <w:pPr>
        <w:pStyle w:val="BodyText"/>
        <w:spacing w:before="1"/>
        <w:ind w:left="824" w:right="303"/>
      </w:pPr>
      <w:r>
        <w:rPr/>
        <w:t>demonstrated that information has been shared with the patient, about the proposed intervention, in a format that is understandable to the patient. For example, if the person cannot read then photographs or symbols or pictures may be appropriate.</w:t>
      </w:r>
    </w:p>
    <w:p>
      <w:pPr>
        <w:pStyle w:val="BodyText"/>
        <w:spacing w:before="38"/>
        <w:ind w:left="103" w:right="71"/>
      </w:pPr>
      <w:r>
        <w:rPr/>
        <w:br w:type="column"/>
      </w:r>
      <w:r>
        <w:rPr/>
        <w:t>The health professional carrying out the procedure or intervention is </w:t>
      </w:r>
      <w:r>
        <w:rPr>
          <w:u w:val="single"/>
        </w:rPr>
        <w:t>ultimately responsible</w:t>
      </w:r>
      <w:r>
        <w:rPr/>
        <w:t> for ensuring that the patient is genuinely consenting. If The professional has doubts that the person is able to consent then they must carry out a formal mental capacity assessment in relation to the decision being made However, this should not be a decision made solely, and opinions of significant others including family, carers and other health professionals should be taken into consideration.</w:t>
      </w:r>
    </w:p>
    <w:p>
      <w:pPr>
        <w:pStyle w:val="BodyText"/>
        <w:spacing w:before="2"/>
        <w:rPr>
          <w:sz w:val="6"/>
        </w:rPr>
      </w:pPr>
    </w:p>
    <w:p>
      <w:pPr>
        <w:pStyle w:val="BodyText"/>
        <w:ind w:left="178"/>
      </w:pPr>
      <w:r>
        <w:rPr>
          <w:position w:val="0"/>
        </w:rPr>
        <w:pict>
          <v:shape style="width:126pt;height:17pt;mso-position-horizontal-relative:char;mso-position-vertical-relative:line" type="#_x0000_t202" filled="true" fillcolor="#ccffff" stroked="true" strokeweight=".75pt" strokecolor="#000000">
            <w10:anchorlock/>
            <v:textbox inset="0,0,0,0">
              <w:txbxContent>
                <w:p>
                  <w:pPr>
                    <w:pStyle w:val="BodyText"/>
                    <w:spacing w:before="73"/>
                    <w:ind w:left="145"/>
                  </w:pPr>
                  <w:r>
                    <w:rPr/>
                    <w:t>BEST INTEREST</w:t>
                  </w:r>
                </w:p>
              </w:txbxContent>
            </v:textbox>
            <v:fill type="solid"/>
            <v:stroke dashstyle="solid"/>
          </v:shape>
        </w:pict>
      </w:r>
      <w:r>
        <w:rPr>
          <w:position w:val="0"/>
        </w:rPr>
      </w:r>
    </w:p>
    <w:p>
      <w:pPr>
        <w:pStyle w:val="BodyText"/>
        <w:spacing w:before="40"/>
        <w:ind w:left="243" w:right="-5"/>
      </w:pPr>
      <w:r>
        <w:rPr/>
        <w:t>The lack of capacity in a person unable to make a decision to</w:t>
      </w:r>
      <w:r>
        <w:rPr>
          <w:spacing w:val="-20"/>
        </w:rPr>
        <w:t> </w:t>
      </w:r>
      <w:r>
        <w:rPr/>
        <w:t>a given procedure or intervention, </w:t>
      </w:r>
      <w:r>
        <w:rPr>
          <w:u w:val="single"/>
        </w:rPr>
        <w:t>does not</w:t>
      </w:r>
      <w:r>
        <w:rPr/>
        <w:t> imply</w:t>
      </w:r>
      <w:r>
        <w:rPr>
          <w:spacing w:val="-5"/>
        </w:rPr>
        <w:t> </w:t>
      </w:r>
      <w:r>
        <w:rPr/>
        <w:t>consent.</w:t>
      </w:r>
    </w:p>
    <w:p>
      <w:pPr>
        <w:pStyle w:val="BodyText"/>
        <w:spacing w:before="1"/>
        <w:ind w:left="243" w:right="109"/>
      </w:pPr>
      <w:r>
        <w:rPr/>
        <w:t>It places a duty on health professionals to determine a course of action that is in the person’s best interest by asking the following questions:</w:t>
      </w:r>
    </w:p>
    <w:p>
      <w:pPr>
        <w:pStyle w:val="ListParagraph"/>
        <w:numPr>
          <w:ilvl w:val="0"/>
          <w:numId w:val="3"/>
        </w:numPr>
        <w:tabs>
          <w:tab w:pos="964" w:val="left" w:leader="none"/>
        </w:tabs>
        <w:spacing w:line="229" w:lineRule="exact" w:before="0" w:after="0"/>
        <w:ind w:left="963" w:right="0" w:hanging="361"/>
        <w:jc w:val="left"/>
        <w:rPr>
          <w:sz w:val="20"/>
        </w:rPr>
      </w:pPr>
      <w:r>
        <w:rPr>
          <w:sz w:val="20"/>
        </w:rPr>
        <w:t>Will capacity be regained in the</w:t>
      </w:r>
      <w:r>
        <w:rPr>
          <w:spacing w:val="-7"/>
          <w:sz w:val="20"/>
        </w:rPr>
        <w:t> </w:t>
      </w:r>
      <w:r>
        <w:rPr>
          <w:sz w:val="20"/>
        </w:rPr>
        <w:t>future?</w:t>
      </w:r>
    </w:p>
    <w:p>
      <w:pPr>
        <w:pStyle w:val="ListParagraph"/>
        <w:numPr>
          <w:ilvl w:val="0"/>
          <w:numId w:val="3"/>
        </w:numPr>
        <w:tabs>
          <w:tab w:pos="964" w:val="left" w:leader="none"/>
        </w:tabs>
        <w:spacing w:line="240" w:lineRule="auto" w:before="1" w:after="0"/>
        <w:ind w:left="963" w:right="624" w:hanging="360"/>
        <w:jc w:val="left"/>
        <w:rPr>
          <w:sz w:val="20"/>
        </w:rPr>
      </w:pPr>
      <w:r>
        <w:rPr>
          <w:sz w:val="20"/>
        </w:rPr>
        <w:t>Has the person been involved to their</w:t>
      </w:r>
      <w:r>
        <w:rPr>
          <w:spacing w:val="-15"/>
          <w:sz w:val="20"/>
        </w:rPr>
        <w:t> </w:t>
      </w:r>
      <w:r>
        <w:rPr>
          <w:sz w:val="20"/>
        </w:rPr>
        <w:t>maximum extent?</w:t>
      </w:r>
    </w:p>
    <w:p>
      <w:pPr>
        <w:pStyle w:val="ListParagraph"/>
        <w:numPr>
          <w:ilvl w:val="0"/>
          <w:numId w:val="3"/>
        </w:numPr>
        <w:tabs>
          <w:tab w:pos="964" w:val="left" w:leader="none"/>
        </w:tabs>
        <w:spacing w:line="240" w:lineRule="auto" w:before="1" w:after="0"/>
        <w:ind w:left="963" w:right="167" w:hanging="360"/>
        <w:jc w:val="left"/>
        <w:rPr>
          <w:b/>
          <w:sz w:val="20"/>
        </w:rPr>
      </w:pPr>
      <w:r>
        <w:rPr>
          <w:sz w:val="20"/>
        </w:rPr>
        <w:t>Has regard been paid to the past and present</w:t>
      </w:r>
      <w:r>
        <w:rPr>
          <w:spacing w:val="-16"/>
          <w:sz w:val="20"/>
        </w:rPr>
        <w:t> </w:t>
      </w:r>
      <w:r>
        <w:rPr>
          <w:sz w:val="20"/>
        </w:rPr>
        <w:t>wishes and beliefs and</w:t>
      </w:r>
      <w:r>
        <w:rPr>
          <w:spacing w:val="1"/>
          <w:sz w:val="20"/>
        </w:rPr>
        <w:t> </w:t>
      </w:r>
      <w:r>
        <w:rPr>
          <w:sz w:val="20"/>
        </w:rPr>
        <w:t>values</w:t>
      </w:r>
      <w:r>
        <w:rPr>
          <w:b/>
          <w:sz w:val="20"/>
        </w:rPr>
        <w:t>?</w:t>
      </w:r>
    </w:p>
    <w:p>
      <w:pPr>
        <w:pStyle w:val="ListParagraph"/>
        <w:numPr>
          <w:ilvl w:val="0"/>
          <w:numId w:val="3"/>
        </w:numPr>
        <w:tabs>
          <w:tab w:pos="964" w:val="left" w:leader="none"/>
        </w:tabs>
        <w:spacing w:line="240" w:lineRule="auto" w:before="0" w:after="0"/>
        <w:ind w:left="963" w:right="302" w:hanging="360"/>
        <w:jc w:val="left"/>
        <w:rPr>
          <w:sz w:val="20"/>
        </w:rPr>
      </w:pPr>
      <w:r>
        <w:rPr>
          <w:sz w:val="20"/>
        </w:rPr>
        <w:t>Have the views of significant others been taken</w:t>
      </w:r>
      <w:r>
        <w:rPr>
          <w:spacing w:val="-20"/>
          <w:sz w:val="20"/>
        </w:rPr>
        <w:t> </w:t>
      </w:r>
      <w:r>
        <w:rPr>
          <w:sz w:val="20"/>
        </w:rPr>
        <w:t>into account? Including Attorneys under an LPA or deputies, who may be the decision</w:t>
      </w:r>
      <w:r>
        <w:rPr>
          <w:spacing w:val="-7"/>
          <w:sz w:val="20"/>
        </w:rPr>
        <w:t> </w:t>
      </w:r>
      <w:r>
        <w:rPr>
          <w:sz w:val="20"/>
        </w:rPr>
        <w:t>maker</w:t>
      </w:r>
    </w:p>
    <w:p>
      <w:pPr>
        <w:pStyle w:val="ListParagraph"/>
        <w:numPr>
          <w:ilvl w:val="0"/>
          <w:numId w:val="3"/>
        </w:numPr>
        <w:tabs>
          <w:tab w:pos="964" w:val="left" w:leader="none"/>
        </w:tabs>
        <w:spacing w:line="240" w:lineRule="auto" w:before="0" w:after="0"/>
        <w:ind w:left="963" w:right="227" w:hanging="360"/>
        <w:jc w:val="left"/>
        <w:rPr>
          <w:sz w:val="20"/>
        </w:rPr>
      </w:pPr>
      <w:r>
        <w:rPr>
          <w:sz w:val="20"/>
        </w:rPr>
        <w:t>Can the procedure be carried out in a less</w:t>
      </w:r>
      <w:r>
        <w:rPr>
          <w:spacing w:val="-25"/>
          <w:sz w:val="20"/>
        </w:rPr>
        <w:t> </w:t>
      </w:r>
      <w:r>
        <w:rPr>
          <w:sz w:val="20"/>
        </w:rPr>
        <w:t>restrictive way?</w:t>
      </w:r>
    </w:p>
    <w:p>
      <w:pPr>
        <w:pStyle w:val="ListParagraph"/>
        <w:numPr>
          <w:ilvl w:val="0"/>
          <w:numId w:val="3"/>
        </w:numPr>
        <w:tabs>
          <w:tab w:pos="964" w:val="left" w:leader="none"/>
        </w:tabs>
        <w:spacing w:line="240" w:lineRule="auto" w:before="0" w:after="0"/>
        <w:ind w:left="963" w:right="357" w:hanging="360"/>
        <w:jc w:val="both"/>
        <w:rPr>
          <w:sz w:val="20"/>
        </w:rPr>
      </w:pPr>
      <w:r>
        <w:rPr>
          <w:sz w:val="20"/>
        </w:rPr>
        <w:t>Has the person been appropriately informed of the proposed treatment in a manner understandable</w:t>
      </w:r>
      <w:r>
        <w:rPr>
          <w:spacing w:val="-17"/>
          <w:sz w:val="20"/>
        </w:rPr>
        <w:t> </w:t>
      </w:r>
      <w:r>
        <w:rPr>
          <w:sz w:val="20"/>
        </w:rPr>
        <w:t>to them?</w:t>
      </w:r>
    </w:p>
    <w:p>
      <w:pPr>
        <w:pStyle w:val="ListParagraph"/>
        <w:numPr>
          <w:ilvl w:val="0"/>
          <w:numId w:val="3"/>
        </w:numPr>
        <w:tabs>
          <w:tab w:pos="964" w:val="left" w:leader="none"/>
        </w:tabs>
        <w:spacing w:line="240" w:lineRule="auto" w:before="0" w:after="0"/>
        <w:ind w:left="963" w:right="547" w:hanging="360"/>
        <w:jc w:val="both"/>
        <w:rPr>
          <w:sz w:val="20"/>
        </w:rPr>
      </w:pPr>
      <w:r>
        <w:rPr>
          <w:sz w:val="20"/>
        </w:rPr>
        <w:t>Have all practical steps been taken to enable</w:t>
      </w:r>
      <w:r>
        <w:rPr>
          <w:spacing w:val="-19"/>
          <w:sz w:val="20"/>
        </w:rPr>
        <w:t> </w:t>
      </w:r>
      <w:r>
        <w:rPr>
          <w:sz w:val="20"/>
        </w:rPr>
        <w:t>the person to communicate their</w:t>
      </w:r>
      <w:r>
        <w:rPr>
          <w:spacing w:val="-3"/>
          <w:sz w:val="20"/>
        </w:rPr>
        <w:t> </w:t>
      </w:r>
      <w:r>
        <w:rPr>
          <w:sz w:val="20"/>
        </w:rPr>
        <w:t>choice.</w:t>
      </w:r>
    </w:p>
    <w:p>
      <w:pPr>
        <w:spacing w:before="139"/>
        <w:ind w:left="0" w:right="38" w:firstLine="0"/>
        <w:jc w:val="right"/>
        <w:rPr>
          <w:sz w:val="20"/>
        </w:rPr>
      </w:pPr>
      <w:r>
        <w:rPr/>
        <w:br w:type="column"/>
      </w:r>
      <w:r>
        <w:rPr>
          <w:spacing w:val="-1"/>
          <w:w w:val="95"/>
          <w:sz w:val="20"/>
        </w:rPr>
        <w:t>9.</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91"/>
        <w:ind w:right="107"/>
        <w:jc w:val="right"/>
      </w:pPr>
      <w:r>
        <w:rPr/>
        <w:pict>
          <v:rect style="position:absolute;margin-left:576pt;margin-top:-192.210114pt;width:35.9pt;height:27.2pt;mso-position-horizontal-relative:page;mso-position-vertical-relative:paragraph;z-index:-251790336" filled="true" fillcolor="#ffffff" stroked="false">
            <v:fill type="solid"/>
            <w10:wrap type="none"/>
          </v:rect>
        </w:pict>
      </w:r>
      <w:r>
        <w:rPr>
          <w:spacing w:val="-2"/>
        </w:rPr>
        <w:t>10.</w:t>
      </w:r>
    </w:p>
    <w:p>
      <w:pPr>
        <w:pStyle w:val="BodyText"/>
        <w:spacing w:before="139"/>
        <w:ind w:left="104" w:right="253"/>
      </w:pPr>
      <w:r>
        <w:rPr/>
        <w:br w:type="column"/>
      </w:r>
      <w:r>
        <w:rPr/>
        <w:t>Where an adult patient lacks the mental capacity to give or withhold consent, treatment may be given in their best interest as long as it has not been refused in advance in a valid advance directive.</w:t>
      </w:r>
    </w:p>
    <w:p>
      <w:pPr>
        <w:pStyle w:val="BodyText"/>
        <w:ind w:left="104" w:right="140"/>
      </w:pPr>
      <w:r>
        <w:rPr/>
        <w:t>If competent when making the Advance Directive, it is legally binding and treatments can be refused. If adult incapacitated when making advance directives, these are not legally binding but should influence any ‘best interest’ decisions. N.B. Advanced directives can be overridden if a person requires psychiatric treatment under the MHA 1983</w:t>
      </w:r>
    </w:p>
    <w:p>
      <w:pPr>
        <w:pStyle w:val="BodyText"/>
        <w:spacing w:before="7"/>
        <w:rPr>
          <w:sz w:val="24"/>
        </w:rPr>
      </w:pPr>
      <w:r>
        <w:rPr/>
        <w:pict>
          <v:shape style="position:absolute;margin-left:615.549988pt;margin-top:16.513672pt;width:188.95pt;height:27.1pt;mso-position-horizontal-relative:page;mso-position-vertical-relative:paragraph;z-index:-251654144;mso-wrap-distance-left:0;mso-wrap-distance-right:0" type="#_x0000_t202" filled="true" fillcolor="#ccffff" stroked="true" strokeweight=".75pt" strokecolor="#000000">
            <v:textbox inset="0,0,0,0">
              <w:txbxContent>
                <w:p>
                  <w:pPr>
                    <w:pStyle w:val="BodyText"/>
                    <w:spacing w:before="74"/>
                    <w:ind w:left="146"/>
                  </w:pPr>
                  <w:r>
                    <w:rPr/>
                    <w:t>MENTAL CAPACITY ACT - 2005</w:t>
                  </w:r>
                </w:p>
              </w:txbxContent>
            </v:textbox>
            <v:fill type="solid"/>
            <v:stroke dashstyle="solid"/>
            <w10:wrap type="topAndBottom"/>
          </v:shape>
        </w:pict>
      </w:r>
    </w:p>
    <w:p>
      <w:pPr>
        <w:pStyle w:val="BodyText"/>
        <w:spacing w:before="184"/>
        <w:ind w:left="276" w:right="415"/>
      </w:pPr>
      <w:r>
        <w:rPr/>
        <w:t>The Mental Capacity Act became Law in 2005. The act places a duty of care on professionals to assess each intervention on a ‘decision – specific’ basis and provides a formal test for mental capacity and a best interest checklist. The Act defines the law around restraint, restriction of liberty and restriction of movement and introduces a five-year prison sentence for the ill treatment of a person who lacks capacity.</w:t>
      </w:r>
    </w:p>
    <w:p>
      <w:pPr>
        <w:spacing w:after="0"/>
        <w:sectPr>
          <w:type w:val="continuous"/>
          <w:pgSz w:w="16840" w:h="11910" w:orient="landscape"/>
          <w:pgMar w:top="140" w:bottom="280" w:left="220" w:right="640"/>
          <w:cols w:num="4" w:equalWidth="0">
            <w:col w:w="5077" w:space="324"/>
            <w:col w:w="5820" w:space="40"/>
            <w:col w:w="391" w:space="237"/>
            <w:col w:w="4091"/>
          </w:cols>
        </w:sectPr>
      </w:pPr>
    </w:p>
    <w:p>
      <w:pPr>
        <w:pStyle w:val="BodyText"/>
        <w:spacing w:before="9"/>
        <w:rPr>
          <w:sz w:val="10"/>
        </w:rPr>
      </w:pPr>
    </w:p>
    <w:p>
      <w:pPr>
        <w:spacing w:before="93"/>
        <w:ind w:left="7547" w:right="0" w:firstLine="0"/>
        <w:jc w:val="left"/>
        <w:rPr>
          <w:b/>
          <w:sz w:val="20"/>
        </w:rPr>
      </w:pPr>
      <w:r>
        <w:rPr>
          <w:b/>
          <w:sz w:val="20"/>
        </w:rPr>
        <w:t>Produced by the Learning Disability Health Facilitation Team – Review Date April 2023</w:t>
      </w:r>
    </w:p>
    <w:sectPr>
      <w:type w:val="continuous"/>
      <w:pgSz w:w="16840" w:h="11910" w:orient="landscape"/>
      <w:pgMar w:top="140" w:bottom="280" w:left="2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63" w:hanging="360"/>
        <w:jc w:val="left"/>
      </w:pPr>
      <w:rPr>
        <w:rFonts w:hint="default" w:ascii="Arial" w:hAnsi="Arial" w:eastAsia="Arial" w:cs="Arial"/>
        <w:spacing w:val="-1"/>
        <w:w w:val="99"/>
        <w:sz w:val="20"/>
        <w:szCs w:val="20"/>
        <w:lang w:val="en-gb" w:eastAsia="en-gb" w:bidi="en-gb"/>
      </w:rPr>
    </w:lvl>
    <w:lvl w:ilvl="1">
      <w:start w:val="0"/>
      <w:numFmt w:val="bullet"/>
      <w:lvlText w:val="•"/>
      <w:lvlJc w:val="left"/>
      <w:pPr>
        <w:ind w:left="1445" w:hanging="360"/>
      </w:pPr>
      <w:rPr>
        <w:rFonts w:hint="default"/>
        <w:lang w:val="en-gb" w:eastAsia="en-gb" w:bidi="en-gb"/>
      </w:rPr>
    </w:lvl>
    <w:lvl w:ilvl="2">
      <w:start w:val="0"/>
      <w:numFmt w:val="bullet"/>
      <w:lvlText w:val="•"/>
      <w:lvlJc w:val="left"/>
      <w:pPr>
        <w:ind w:left="1931" w:hanging="360"/>
      </w:pPr>
      <w:rPr>
        <w:rFonts w:hint="default"/>
        <w:lang w:val="en-gb" w:eastAsia="en-gb" w:bidi="en-gb"/>
      </w:rPr>
    </w:lvl>
    <w:lvl w:ilvl="3">
      <w:start w:val="0"/>
      <w:numFmt w:val="bullet"/>
      <w:lvlText w:val="•"/>
      <w:lvlJc w:val="left"/>
      <w:pPr>
        <w:ind w:left="2417" w:hanging="360"/>
      </w:pPr>
      <w:rPr>
        <w:rFonts w:hint="default"/>
        <w:lang w:val="en-gb" w:eastAsia="en-gb" w:bidi="en-gb"/>
      </w:rPr>
    </w:lvl>
    <w:lvl w:ilvl="4">
      <w:start w:val="0"/>
      <w:numFmt w:val="bullet"/>
      <w:lvlText w:val="•"/>
      <w:lvlJc w:val="left"/>
      <w:pPr>
        <w:ind w:left="2903" w:hanging="360"/>
      </w:pPr>
      <w:rPr>
        <w:rFonts w:hint="default"/>
        <w:lang w:val="en-gb" w:eastAsia="en-gb" w:bidi="en-gb"/>
      </w:rPr>
    </w:lvl>
    <w:lvl w:ilvl="5">
      <w:start w:val="0"/>
      <w:numFmt w:val="bullet"/>
      <w:lvlText w:val="•"/>
      <w:lvlJc w:val="left"/>
      <w:pPr>
        <w:ind w:left="3389" w:hanging="360"/>
      </w:pPr>
      <w:rPr>
        <w:rFonts w:hint="default"/>
        <w:lang w:val="en-gb" w:eastAsia="en-gb" w:bidi="en-gb"/>
      </w:rPr>
    </w:lvl>
    <w:lvl w:ilvl="6">
      <w:start w:val="0"/>
      <w:numFmt w:val="bullet"/>
      <w:lvlText w:val="•"/>
      <w:lvlJc w:val="left"/>
      <w:pPr>
        <w:ind w:left="3875" w:hanging="360"/>
      </w:pPr>
      <w:rPr>
        <w:rFonts w:hint="default"/>
        <w:lang w:val="en-gb" w:eastAsia="en-gb" w:bidi="en-gb"/>
      </w:rPr>
    </w:lvl>
    <w:lvl w:ilvl="7">
      <w:start w:val="0"/>
      <w:numFmt w:val="bullet"/>
      <w:lvlText w:val="•"/>
      <w:lvlJc w:val="left"/>
      <w:pPr>
        <w:ind w:left="4361" w:hanging="360"/>
      </w:pPr>
      <w:rPr>
        <w:rFonts w:hint="default"/>
        <w:lang w:val="en-gb" w:eastAsia="en-gb" w:bidi="en-gb"/>
      </w:rPr>
    </w:lvl>
    <w:lvl w:ilvl="8">
      <w:start w:val="0"/>
      <w:numFmt w:val="bullet"/>
      <w:lvlText w:val="•"/>
      <w:lvlJc w:val="left"/>
      <w:pPr>
        <w:ind w:left="4847" w:hanging="360"/>
      </w:pPr>
      <w:rPr>
        <w:rFonts w:hint="default"/>
        <w:lang w:val="en-gb" w:eastAsia="en-gb" w:bidi="en-gb"/>
      </w:rPr>
    </w:lvl>
  </w:abstractNum>
  <w:abstractNum w:abstractNumId="1">
    <w:multiLevelType w:val="hybridMultilevel"/>
    <w:lvl w:ilvl="0">
      <w:start w:val="1"/>
      <w:numFmt w:val="lowerLetter"/>
      <w:lvlText w:val="%1)"/>
      <w:lvlJc w:val="left"/>
      <w:pPr>
        <w:ind w:left="824" w:hanging="233"/>
        <w:jc w:val="left"/>
      </w:pPr>
      <w:rPr>
        <w:rFonts w:hint="default" w:ascii="Arial" w:hAnsi="Arial" w:eastAsia="Arial" w:cs="Arial"/>
        <w:w w:val="99"/>
        <w:sz w:val="20"/>
        <w:szCs w:val="20"/>
        <w:lang w:val="en-gb" w:eastAsia="en-gb" w:bidi="en-gb"/>
      </w:rPr>
    </w:lvl>
    <w:lvl w:ilvl="1">
      <w:start w:val="0"/>
      <w:numFmt w:val="bullet"/>
      <w:lvlText w:val="•"/>
      <w:lvlJc w:val="left"/>
      <w:pPr>
        <w:ind w:left="1245" w:hanging="233"/>
      </w:pPr>
      <w:rPr>
        <w:rFonts w:hint="default"/>
        <w:lang w:val="en-gb" w:eastAsia="en-gb" w:bidi="en-gb"/>
      </w:rPr>
    </w:lvl>
    <w:lvl w:ilvl="2">
      <w:start w:val="0"/>
      <w:numFmt w:val="bullet"/>
      <w:lvlText w:val="•"/>
      <w:lvlJc w:val="left"/>
      <w:pPr>
        <w:ind w:left="1671" w:hanging="233"/>
      </w:pPr>
      <w:rPr>
        <w:rFonts w:hint="default"/>
        <w:lang w:val="en-gb" w:eastAsia="en-gb" w:bidi="en-gb"/>
      </w:rPr>
    </w:lvl>
    <w:lvl w:ilvl="3">
      <w:start w:val="0"/>
      <w:numFmt w:val="bullet"/>
      <w:lvlText w:val="•"/>
      <w:lvlJc w:val="left"/>
      <w:pPr>
        <w:ind w:left="2097" w:hanging="233"/>
      </w:pPr>
      <w:rPr>
        <w:rFonts w:hint="default"/>
        <w:lang w:val="en-gb" w:eastAsia="en-gb" w:bidi="en-gb"/>
      </w:rPr>
    </w:lvl>
    <w:lvl w:ilvl="4">
      <w:start w:val="0"/>
      <w:numFmt w:val="bullet"/>
      <w:lvlText w:val="•"/>
      <w:lvlJc w:val="left"/>
      <w:pPr>
        <w:ind w:left="2522" w:hanging="233"/>
      </w:pPr>
      <w:rPr>
        <w:rFonts w:hint="default"/>
        <w:lang w:val="en-gb" w:eastAsia="en-gb" w:bidi="en-gb"/>
      </w:rPr>
    </w:lvl>
    <w:lvl w:ilvl="5">
      <w:start w:val="0"/>
      <w:numFmt w:val="bullet"/>
      <w:lvlText w:val="•"/>
      <w:lvlJc w:val="left"/>
      <w:pPr>
        <w:ind w:left="2948" w:hanging="233"/>
      </w:pPr>
      <w:rPr>
        <w:rFonts w:hint="default"/>
        <w:lang w:val="en-gb" w:eastAsia="en-gb" w:bidi="en-gb"/>
      </w:rPr>
    </w:lvl>
    <w:lvl w:ilvl="6">
      <w:start w:val="0"/>
      <w:numFmt w:val="bullet"/>
      <w:lvlText w:val="•"/>
      <w:lvlJc w:val="left"/>
      <w:pPr>
        <w:ind w:left="3374" w:hanging="233"/>
      </w:pPr>
      <w:rPr>
        <w:rFonts w:hint="default"/>
        <w:lang w:val="en-gb" w:eastAsia="en-gb" w:bidi="en-gb"/>
      </w:rPr>
    </w:lvl>
    <w:lvl w:ilvl="7">
      <w:start w:val="0"/>
      <w:numFmt w:val="bullet"/>
      <w:lvlText w:val="•"/>
      <w:lvlJc w:val="left"/>
      <w:pPr>
        <w:ind w:left="3799" w:hanging="233"/>
      </w:pPr>
      <w:rPr>
        <w:rFonts w:hint="default"/>
        <w:lang w:val="en-gb" w:eastAsia="en-gb" w:bidi="en-gb"/>
      </w:rPr>
    </w:lvl>
    <w:lvl w:ilvl="8">
      <w:start w:val="0"/>
      <w:numFmt w:val="bullet"/>
      <w:lvlText w:val="•"/>
      <w:lvlJc w:val="left"/>
      <w:pPr>
        <w:ind w:left="4225" w:hanging="233"/>
      </w:pPr>
      <w:rPr>
        <w:rFonts w:hint="default"/>
        <w:lang w:val="en-gb" w:eastAsia="en-gb" w:bidi="en-gb"/>
      </w:rPr>
    </w:lvl>
  </w:abstractNum>
  <w:abstractNum w:abstractNumId="0">
    <w:multiLevelType w:val="hybridMultilevel"/>
    <w:lvl w:ilvl="0">
      <w:start w:val="1"/>
      <w:numFmt w:val="decimal"/>
      <w:lvlText w:val="%1."/>
      <w:lvlJc w:val="left"/>
      <w:pPr>
        <w:ind w:left="824" w:hanging="720"/>
        <w:jc w:val="left"/>
      </w:pPr>
      <w:rPr>
        <w:rFonts w:hint="default" w:ascii="Arial" w:hAnsi="Arial" w:eastAsia="Arial" w:cs="Arial"/>
        <w:spacing w:val="-1"/>
        <w:w w:val="99"/>
        <w:sz w:val="20"/>
        <w:szCs w:val="20"/>
        <w:lang w:val="en-gb" w:eastAsia="en-gb" w:bidi="en-gb"/>
      </w:rPr>
    </w:lvl>
    <w:lvl w:ilvl="1">
      <w:start w:val="0"/>
      <w:numFmt w:val="bullet"/>
      <w:lvlText w:val="-"/>
      <w:lvlJc w:val="left"/>
      <w:pPr>
        <w:ind w:left="824" w:hanging="360"/>
      </w:pPr>
      <w:rPr>
        <w:rFonts w:hint="default" w:ascii="Times New Roman" w:hAnsi="Times New Roman" w:eastAsia="Times New Roman" w:cs="Times New Roman"/>
        <w:w w:val="99"/>
        <w:sz w:val="20"/>
        <w:szCs w:val="20"/>
        <w:lang w:val="en-gb" w:eastAsia="en-gb" w:bidi="en-gb"/>
      </w:rPr>
    </w:lvl>
    <w:lvl w:ilvl="2">
      <w:start w:val="0"/>
      <w:numFmt w:val="bullet"/>
      <w:lvlText w:val="•"/>
      <w:lvlJc w:val="left"/>
      <w:pPr>
        <w:ind w:left="594" w:hanging="360"/>
      </w:pPr>
      <w:rPr>
        <w:rFonts w:hint="default"/>
        <w:lang w:val="en-gb" w:eastAsia="en-gb" w:bidi="en-gb"/>
      </w:rPr>
    </w:lvl>
    <w:lvl w:ilvl="3">
      <w:start w:val="0"/>
      <w:numFmt w:val="bullet"/>
      <w:lvlText w:val="•"/>
      <w:lvlJc w:val="left"/>
      <w:pPr>
        <w:ind w:left="482" w:hanging="360"/>
      </w:pPr>
      <w:rPr>
        <w:rFonts w:hint="default"/>
        <w:lang w:val="en-gb" w:eastAsia="en-gb" w:bidi="en-gb"/>
      </w:rPr>
    </w:lvl>
    <w:lvl w:ilvl="4">
      <w:start w:val="0"/>
      <w:numFmt w:val="bullet"/>
      <w:lvlText w:val="•"/>
      <w:lvlJc w:val="left"/>
      <w:pPr>
        <w:ind w:left="369" w:hanging="360"/>
      </w:pPr>
      <w:rPr>
        <w:rFonts w:hint="default"/>
        <w:lang w:val="en-gb" w:eastAsia="en-gb" w:bidi="en-gb"/>
      </w:rPr>
    </w:lvl>
    <w:lvl w:ilvl="5">
      <w:start w:val="0"/>
      <w:numFmt w:val="bullet"/>
      <w:lvlText w:val="•"/>
      <w:lvlJc w:val="left"/>
      <w:pPr>
        <w:ind w:left="256" w:hanging="360"/>
      </w:pPr>
      <w:rPr>
        <w:rFonts w:hint="default"/>
        <w:lang w:val="en-gb" w:eastAsia="en-gb" w:bidi="en-gb"/>
      </w:rPr>
    </w:lvl>
    <w:lvl w:ilvl="6">
      <w:start w:val="0"/>
      <w:numFmt w:val="bullet"/>
      <w:lvlText w:val="•"/>
      <w:lvlJc w:val="left"/>
      <w:pPr>
        <w:ind w:left="144" w:hanging="360"/>
      </w:pPr>
      <w:rPr>
        <w:rFonts w:hint="default"/>
        <w:lang w:val="en-gb" w:eastAsia="en-gb" w:bidi="en-gb"/>
      </w:rPr>
    </w:lvl>
    <w:lvl w:ilvl="7">
      <w:start w:val="0"/>
      <w:numFmt w:val="bullet"/>
      <w:lvlText w:val="•"/>
      <w:lvlJc w:val="left"/>
      <w:pPr>
        <w:ind w:left="31" w:hanging="360"/>
      </w:pPr>
      <w:rPr>
        <w:rFonts w:hint="default"/>
        <w:lang w:val="en-gb" w:eastAsia="en-gb" w:bidi="en-gb"/>
      </w:rPr>
    </w:lvl>
    <w:lvl w:ilvl="8">
      <w:start w:val="0"/>
      <w:numFmt w:val="bullet"/>
      <w:lvlText w:val="•"/>
      <w:lvlJc w:val="left"/>
      <w:pPr>
        <w:ind w:left="-82" w:hanging="360"/>
      </w:pPr>
      <w:rPr>
        <w:rFonts w:hint="default"/>
        <w:lang w:val="en-gb" w:eastAsia="en-gb" w:bidi="en-gb"/>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0"/>
      <w:szCs w:val="20"/>
      <w:lang w:val="en-gb" w:eastAsia="en-gb" w:bidi="en-gb"/>
    </w:rPr>
  </w:style>
  <w:style w:styleId="ListParagraph" w:type="paragraph">
    <w:name w:val="List Paragraph"/>
    <w:basedOn w:val="Normal"/>
    <w:uiPriority w:val="1"/>
    <w:qFormat/>
    <w:pPr>
      <w:ind w:left="824" w:hanging="360"/>
    </w:pPr>
    <w:rPr>
      <w:rFonts w:ascii="Arial" w:hAnsi="Arial" w:eastAsia="Arial" w:cs="Arial"/>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denise.senior</dc:creator>
  <dc:title>10 key points on consent in Learning Disabilities</dc:title>
  <dcterms:created xsi:type="dcterms:W3CDTF">2022-12-06T09:02:40Z</dcterms:created>
  <dcterms:modified xsi:type="dcterms:W3CDTF">2022-12-06T09:02:40Z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2019</vt:lpwstr>
  </property>
  <property fmtid="{D5CDD505-2E9C-101B-9397-08002B2CF9AE}" pid="4" name="LastSaved">
    <vt:filetime>2022-12-06T00:00:00Z</vt:filetime>
  </property>
</Properties>
</file>