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B508" w14:textId="77777777" w:rsidR="006C16C3" w:rsidRDefault="006C16C3"/>
    <w:p w14:paraId="4E1DC43B" w14:textId="77777777" w:rsidR="00617A7A" w:rsidRPr="009D48F6" w:rsidRDefault="00617A7A" w:rsidP="00617A7A">
      <w:pPr>
        <w:shd w:val="clear" w:color="auto" w:fill="FFFFFF"/>
        <w:spacing w:after="0" w:line="240" w:lineRule="auto"/>
        <w:outlineLvl w:val="0"/>
        <w:rPr>
          <w:rFonts w:ascii="Arial" w:eastAsia="Times New Roman" w:hAnsi="Arial" w:cs="Arial"/>
          <w:color w:val="0071BC"/>
          <w:kern w:val="36"/>
          <w:sz w:val="42"/>
          <w:szCs w:val="42"/>
          <w:lang w:eastAsia="en-GB"/>
        </w:rPr>
      </w:pPr>
      <w:r w:rsidRPr="009D48F6">
        <w:rPr>
          <w:rFonts w:ascii="Arial" w:eastAsia="Times New Roman" w:hAnsi="Arial" w:cs="Arial"/>
          <w:color w:val="0071BC"/>
          <w:kern w:val="36"/>
          <w:sz w:val="42"/>
          <w:szCs w:val="42"/>
          <w:lang w:eastAsia="en-GB"/>
        </w:rPr>
        <w:t>Anti-bribery and corruption statement</w:t>
      </w:r>
    </w:p>
    <w:p w14:paraId="66FDDA7B" w14:textId="77777777" w:rsidR="00617A7A" w:rsidRPr="009D48F6" w:rsidRDefault="00617A7A" w:rsidP="00617A7A">
      <w:pPr>
        <w:shd w:val="clear" w:color="auto" w:fill="FFFFFF"/>
        <w:spacing w:after="0" w:line="240" w:lineRule="auto"/>
        <w:outlineLvl w:val="0"/>
        <w:rPr>
          <w:rFonts w:ascii="Arial" w:eastAsia="Times New Roman" w:hAnsi="Arial" w:cs="Arial"/>
          <w:color w:val="0071BC"/>
          <w:kern w:val="36"/>
          <w:sz w:val="42"/>
          <w:szCs w:val="42"/>
          <w:lang w:eastAsia="en-GB"/>
        </w:rPr>
      </w:pPr>
    </w:p>
    <w:p w14:paraId="33B392BA" w14:textId="77777777" w:rsidR="00617A7A" w:rsidRPr="00E34016" w:rsidRDefault="00617A7A" w:rsidP="00617A7A">
      <w:pPr>
        <w:shd w:val="clear" w:color="auto" w:fill="FFFFFF"/>
        <w:spacing w:after="75" w:line="240" w:lineRule="atLeast"/>
        <w:jc w:val="both"/>
        <w:rPr>
          <w:rFonts w:ascii="Arial" w:eastAsia="Times New Roman" w:hAnsi="Arial" w:cs="Arial"/>
          <w:b/>
          <w:bCs/>
          <w:color w:val="000000"/>
          <w:sz w:val="24"/>
          <w:szCs w:val="24"/>
          <w:lang w:eastAsia="en-GB"/>
        </w:rPr>
      </w:pPr>
      <w:r w:rsidRPr="00E34016">
        <w:rPr>
          <w:rFonts w:ascii="Arial" w:eastAsia="Times New Roman" w:hAnsi="Arial" w:cs="Arial"/>
          <w:b/>
          <w:bCs/>
          <w:color w:val="000000"/>
          <w:sz w:val="24"/>
          <w:szCs w:val="24"/>
          <w:lang w:eastAsia="en-GB"/>
        </w:rPr>
        <w:t>Our commitment</w:t>
      </w:r>
    </w:p>
    <w:p w14:paraId="0B10AE95"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1A0648C6"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r w:rsidRPr="00617A7A">
        <w:rPr>
          <w:rFonts w:ascii="Arial" w:eastAsia="Times New Roman" w:hAnsi="Arial" w:cs="Arial"/>
          <w:color w:val="000000"/>
          <w:lang w:eastAsia="en-GB"/>
        </w:rPr>
        <w:t>Bribery is defined as the giving or receiving of a financial or other advantage in exchange for improperly performing a relevant function or activity.</w:t>
      </w:r>
    </w:p>
    <w:p w14:paraId="7E2281B5"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0CD6FC49"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r w:rsidRPr="00617A7A">
        <w:rPr>
          <w:rFonts w:ascii="Arial" w:eastAsia="Times New Roman" w:hAnsi="Arial" w:cs="Arial"/>
          <w:color w:val="000000"/>
          <w:lang w:eastAsia="en-GB"/>
        </w:rPr>
        <w:t>Gloucestershire Health and Care NHS Foundation Trust (the Trust) is committed to applying the highest standards of ethical conduct, following good NHS business practice and have robust controls in place to prevent bribery. We expect all organisations, partners and suppliers doing business with us to have a comparable commitment and this enables us to reassure our patients, members and stakeholders that public funds are safeguarded. Under no circumstances is the giving, offering, receiving or soliciting of a bribe acceptable and the Trust will not tolerate this in any form.</w:t>
      </w:r>
    </w:p>
    <w:p w14:paraId="2E9935FE"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46B910F6" w14:textId="2FDF9E14"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r w:rsidRPr="00617A7A">
        <w:rPr>
          <w:rFonts w:ascii="Arial" w:eastAsia="Times New Roman" w:hAnsi="Arial" w:cs="Arial"/>
          <w:color w:val="000000"/>
          <w:lang w:eastAsia="en-GB"/>
        </w:rPr>
        <w:t xml:space="preserve">Our zero tolerance approach to bribery and corruption is set out in further detail within the </w:t>
      </w:r>
      <w:hyperlink r:id="rId6" w:history="1">
        <w:r w:rsidRPr="00617A7A">
          <w:rPr>
            <w:rStyle w:val="Hyperlink"/>
            <w:rFonts w:ascii="Arial" w:eastAsia="Times New Roman" w:hAnsi="Arial" w:cs="Arial"/>
            <w:lang w:eastAsia="en-GB"/>
          </w:rPr>
          <w:t>Counter Fraud, Bribery and Corruption policy</w:t>
        </w:r>
      </w:hyperlink>
      <w:r w:rsidRPr="00617A7A">
        <w:rPr>
          <w:rFonts w:ascii="Arial" w:eastAsia="Times New Roman" w:hAnsi="Arial" w:cs="Arial"/>
          <w:color w:val="000000"/>
          <w:lang w:eastAsia="en-GB"/>
        </w:rPr>
        <w:t>, and across a range of other trust policies and procedural documentation. This applies to all colleagues and non-executives, together with contractors and agents working or acting on behalf of the Trust.</w:t>
      </w:r>
    </w:p>
    <w:p w14:paraId="44CC9657"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77B073CD" w14:textId="77777777" w:rsidR="00617A7A" w:rsidRPr="00617A7A" w:rsidRDefault="00617A7A" w:rsidP="00617A7A">
      <w:pPr>
        <w:shd w:val="clear" w:color="auto" w:fill="FFFFFF"/>
        <w:spacing w:after="75" w:line="240" w:lineRule="atLeast"/>
        <w:jc w:val="both"/>
        <w:rPr>
          <w:rFonts w:ascii="Arial" w:eastAsia="Times New Roman" w:hAnsi="Arial" w:cs="Arial"/>
          <w:b/>
          <w:lang w:eastAsia="en-GB"/>
        </w:rPr>
      </w:pPr>
      <w:r w:rsidRPr="00617A7A">
        <w:rPr>
          <w:rFonts w:ascii="Arial" w:eastAsia="Times New Roman" w:hAnsi="Arial" w:cs="Arial"/>
          <w:color w:val="000000"/>
          <w:lang w:eastAsia="en-GB"/>
        </w:rPr>
        <w:t>We are all responsible for gaining an understanding of the requirements, the standard of conduct expected of us and ensuring that they comply at all times with all of our policies and procedures. This includes those in relation to procurement, conflicts of interest, hospitality and the acceptance of gifts</w:t>
      </w:r>
      <w:r w:rsidRPr="00617A7A">
        <w:rPr>
          <w:rFonts w:ascii="Arial" w:eastAsia="Times New Roman" w:hAnsi="Arial" w:cs="Arial"/>
          <w:b/>
          <w:lang w:eastAsia="en-GB"/>
        </w:rPr>
        <w:t xml:space="preserve"> </w:t>
      </w:r>
      <w:r w:rsidRPr="00617A7A">
        <w:rPr>
          <w:rFonts w:ascii="Arial" w:eastAsia="Times New Roman" w:hAnsi="Arial" w:cs="Arial"/>
          <w:lang w:eastAsia="en-GB"/>
        </w:rPr>
        <w:t xml:space="preserve">and is set out in the </w:t>
      </w:r>
      <w:hyperlink r:id="rId7" w:history="1">
        <w:r w:rsidRPr="00617A7A">
          <w:rPr>
            <w:rStyle w:val="Hyperlink"/>
            <w:rFonts w:ascii="Arial" w:eastAsia="Times New Roman" w:hAnsi="Arial" w:cs="Arial"/>
            <w:lang w:eastAsia="en-GB"/>
          </w:rPr>
          <w:t>Managing Conflicts of Interest Policy</w:t>
        </w:r>
      </w:hyperlink>
      <w:r w:rsidRPr="00617A7A">
        <w:rPr>
          <w:rFonts w:ascii="Arial" w:eastAsia="Times New Roman" w:hAnsi="Arial" w:cs="Arial"/>
          <w:lang w:eastAsia="en-GB"/>
        </w:rPr>
        <w:t>.</w:t>
      </w:r>
    </w:p>
    <w:p w14:paraId="47576467"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7EB390AA"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r w:rsidRPr="00617A7A">
        <w:rPr>
          <w:rFonts w:ascii="Arial" w:eastAsia="Times New Roman" w:hAnsi="Arial" w:cs="Arial"/>
          <w:color w:val="000000"/>
          <w:lang w:eastAsia="en-GB"/>
        </w:rPr>
        <w:t>Bribery and corruption under the Act are punishable for individuals as a criminal offence by up to 10 years imprisonment and the Trust could face an unlimited fine and face incalculable damage to our reputation. The Trust therefore takes its legal responsibilities very seriously.</w:t>
      </w:r>
    </w:p>
    <w:p w14:paraId="49C1D460"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2BFD4237" w14:textId="5199C1D8" w:rsidR="00617A7A" w:rsidRPr="00617A7A" w:rsidRDefault="00617A7A" w:rsidP="00617A7A">
      <w:pPr>
        <w:shd w:val="clear" w:color="auto" w:fill="FFFFFF" w:themeFill="background1"/>
        <w:spacing w:after="75" w:line="240" w:lineRule="atLeast"/>
        <w:jc w:val="both"/>
        <w:rPr>
          <w:rFonts w:ascii="Arial" w:hAnsi="Arial" w:cs="Arial"/>
        </w:rPr>
      </w:pPr>
      <w:r w:rsidRPr="00617A7A">
        <w:rPr>
          <w:rFonts w:ascii="Arial" w:eastAsia="Times New Roman" w:hAnsi="Arial" w:cs="Arial"/>
          <w:color w:val="000000"/>
          <w:lang w:eastAsia="en-GB"/>
        </w:rPr>
        <w:t xml:space="preserve">The success of the organisation’s anti-bribery measures depends on all colleagues, and those acting for the organisation, playing their part in helping to detect and eradicate bribery. Therefore, all colleagues and others acting for, or on the behalf of the organisation are encouraged to report any suspected bribery in accordance with the procedures set out in the </w:t>
      </w:r>
      <w:hyperlink r:id="rId8" w:history="1">
        <w:r w:rsidRPr="00617A7A">
          <w:rPr>
            <w:rFonts w:ascii="Arial" w:hAnsi="Arial" w:cs="Arial"/>
            <w:color w:val="0000FF"/>
            <w:u w:val="single"/>
          </w:rPr>
          <w:t>Counter Fraud, Bribery and Corruption policy</w:t>
        </w:r>
      </w:hyperlink>
      <w:bookmarkStart w:id="0" w:name="_GoBack"/>
      <w:bookmarkEnd w:id="0"/>
      <w:r w:rsidRPr="00617A7A">
        <w:rPr>
          <w:rFonts w:ascii="Arial" w:hAnsi="Arial" w:cs="Arial"/>
          <w:color w:val="0000FF"/>
          <w:u w:val="single"/>
        </w:rPr>
        <w:t>.</w:t>
      </w:r>
    </w:p>
    <w:p w14:paraId="2DE1FB91" w14:textId="77777777" w:rsidR="00617A7A" w:rsidRPr="00617A7A" w:rsidRDefault="00617A7A" w:rsidP="00617A7A">
      <w:pPr>
        <w:shd w:val="clear" w:color="auto" w:fill="FFFFFF" w:themeFill="background1"/>
        <w:spacing w:after="75" w:line="240" w:lineRule="atLeast"/>
        <w:jc w:val="both"/>
        <w:rPr>
          <w:rFonts w:ascii="Arial" w:eastAsia="Times New Roman" w:hAnsi="Arial" w:cs="Arial"/>
          <w:color w:val="FF0000"/>
          <w:lang w:eastAsia="en-GB"/>
        </w:rPr>
      </w:pPr>
    </w:p>
    <w:p w14:paraId="517CBD5F" w14:textId="76075A5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r w:rsidRPr="00617A7A">
        <w:rPr>
          <w:rFonts w:ascii="Arial" w:eastAsia="Times New Roman" w:hAnsi="Arial" w:cs="Arial"/>
          <w:color w:val="000000"/>
          <w:lang w:eastAsia="en-GB"/>
        </w:rPr>
        <w:t xml:space="preserve">If you are in any doubt as to whether any conduct could amount to bribery please contact a </w:t>
      </w:r>
      <w:hyperlink r:id="rId9" w:history="1">
        <w:r w:rsidRPr="00617A7A">
          <w:rPr>
            <w:rStyle w:val="Hyperlink"/>
            <w:rFonts w:ascii="Arial" w:eastAsia="Times New Roman" w:hAnsi="Arial" w:cs="Arial"/>
            <w:lang w:eastAsia="en-GB"/>
          </w:rPr>
          <w:t>member of the Trust’s board</w:t>
        </w:r>
      </w:hyperlink>
      <w:r w:rsidRPr="00617A7A">
        <w:rPr>
          <w:rFonts w:ascii="Arial" w:eastAsia="Times New Roman" w:hAnsi="Arial" w:cs="Arial"/>
          <w:lang w:eastAsia="en-GB"/>
        </w:rPr>
        <w:t xml:space="preserve">, </w:t>
      </w:r>
      <w:r w:rsidRPr="00617A7A">
        <w:rPr>
          <w:rFonts w:ascii="Arial" w:eastAsia="Times New Roman" w:hAnsi="Arial" w:cs="Arial"/>
          <w:color w:val="000000"/>
          <w:lang w:eastAsia="en-GB"/>
        </w:rPr>
        <w:t>the Trust Secretary</w:t>
      </w:r>
      <w:r w:rsidR="00240F57">
        <w:rPr>
          <w:rFonts w:ascii="Arial" w:eastAsia="Times New Roman" w:hAnsi="Arial" w:cs="Arial"/>
          <w:color w:val="000000"/>
          <w:lang w:eastAsia="en-GB"/>
        </w:rPr>
        <w:t>,</w:t>
      </w:r>
      <w:r w:rsidR="00240F57" w:rsidRPr="00240F57">
        <w:t xml:space="preserve"> </w:t>
      </w:r>
      <w:hyperlink r:id="rId10" w:history="1">
        <w:r w:rsidR="00240F57">
          <w:rPr>
            <w:rStyle w:val="Hyperlink"/>
          </w:rPr>
          <w:t>Trust.Secretary@ghc.nhs.uk</w:t>
        </w:r>
      </w:hyperlink>
      <w:r w:rsidR="00240F57">
        <w:t xml:space="preserve"> </w:t>
      </w:r>
      <w:r w:rsidR="00240F57">
        <w:rPr>
          <w:rFonts w:ascii="Arial" w:eastAsia="Times New Roman" w:hAnsi="Arial" w:cs="Arial"/>
          <w:color w:val="000000"/>
          <w:lang w:eastAsia="en-GB"/>
        </w:rPr>
        <w:t xml:space="preserve"> or</w:t>
      </w:r>
      <w:r w:rsidRPr="00617A7A">
        <w:rPr>
          <w:rFonts w:ascii="Arial" w:eastAsia="Times New Roman" w:hAnsi="Arial" w:cs="Arial"/>
          <w:color w:val="000000"/>
          <w:lang w:eastAsia="en-GB"/>
        </w:rPr>
        <w:t xml:space="preserve"> on 0300 421 800</w:t>
      </w:r>
      <w:r w:rsidR="00240F57">
        <w:rPr>
          <w:rFonts w:ascii="Arial" w:eastAsia="Times New Roman" w:hAnsi="Arial" w:cs="Arial"/>
          <w:color w:val="000000"/>
          <w:lang w:eastAsia="en-GB"/>
        </w:rPr>
        <w:t xml:space="preserve">, </w:t>
      </w:r>
      <w:r w:rsidRPr="00617A7A">
        <w:rPr>
          <w:rFonts w:ascii="Arial" w:eastAsia="Times New Roman" w:hAnsi="Arial" w:cs="Arial"/>
          <w:color w:val="000000"/>
          <w:lang w:eastAsia="en-GB"/>
        </w:rPr>
        <w:t xml:space="preserve">Local Counter Fraud Manager </w:t>
      </w:r>
      <w:hyperlink r:id="rId11" w:history="1">
        <w:r w:rsidRPr="00617A7A">
          <w:rPr>
            <w:rStyle w:val="Hyperlink"/>
            <w:rFonts w:ascii="Arial" w:eastAsia="Times New Roman" w:hAnsi="Arial" w:cs="Arial"/>
            <w:lang w:eastAsia="en-GB"/>
          </w:rPr>
          <w:t>leesheridan@nhs.net</w:t>
        </w:r>
      </w:hyperlink>
      <w:r w:rsidRPr="00617A7A">
        <w:rPr>
          <w:rFonts w:ascii="Arial" w:eastAsia="Times New Roman" w:hAnsi="Arial" w:cs="Arial"/>
          <w:color w:val="000000"/>
          <w:lang w:eastAsia="en-GB"/>
        </w:rPr>
        <w:t xml:space="preserve"> </w:t>
      </w:r>
      <w:r w:rsidR="0075350F" w:rsidRPr="00023444">
        <w:rPr>
          <w:rFonts w:ascii="Arial" w:eastAsia="Times New Roman" w:hAnsi="Arial" w:cs="Arial"/>
          <w:color w:val="000000"/>
          <w:lang w:eastAsia="en-GB"/>
        </w:rPr>
        <w:t>or alternatively 0300 422 2726.</w:t>
      </w:r>
    </w:p>
    <w:p w14:paraId="3979BB3B" w14:textId="77777777" w:rsidR="00617A7A" w:rsidRPr="00617A7A" w:rsidRDefault="00617A7A" w:rsidP="00617A7A">
      <w:pPr>
        <w:shd w:val="clear" w:color="auto" w:fill="FFFFFF"/>
        <w:spacing w:after="75" w:line="240" w:lineRule="atLeast"/>
        <w:jc w:val="both"/>
        <w:rPr>
          <w:rFonts w:ascii="Arial" w:eastAsia="Times New Roman" w:hAnsi="Arial" w:cs="Arial"/>
          <w:color w:val="000000"/>
          <w:lang w:eastAsia="en-GB"/>
        </w:rPr>
      </w:pPr>
    </w:p>
    <w:p w14:paraId="0E10987C" w14:textId="77777777" w:rsidR="00E34016" w:rsidRPr="00617A7A" w:rsidRDefault="00E34016" w:rsidP="00617A7A">
      <w:pPr>
        <w:shd w:val="clear" w:color="auto" w:fill="FFFFFF"/>
        <w:spacing w:after="75" w:line="240" w:lineRule="atLeast"/>
        <w:jc w:val="both"/>
        <w:rPr>
          <w:rFonts w:ascii="Arial" w:eastAsia="Times New Roman" w:hAnsi="Arial" w:cs="Arial"/>
          <w:color w:val="000000"/>
          <w:lang w:eastAsia="en-GB"/>
        </w:rPr>
      </w:pPr>
    </w:p>
    <w:p w14:paraId="2DB67C8E" w14:textId="3633C0A7" w:rsidR="00617A7A" w:rsidRPr="00617A7A" w:rsidRDefault="0075350F" w:rsidP="00617A7A">
      <w:pPr>
        <w:spacing w:after="0"/>
        <w:jc w:val="both"/>
        <w:rPr>
          <w:rFonts w:ascii="Arial" w:hAnsi="Arial" w:cs="Arial"/>
          <w:b/>
        </w:rPr>
      </w:pPr>
      <w:r w:rsidRPr="00023444">
        <w:rPr>
          <w:rFonts w:ascii="Arial" w:hAnsi="Arial" w:cs="Arial"/>
          <w:b/>
        </w:rPr>
        <w:t>Douglas Blair</w:t>
      </w:r>
    </w:p>
    <w:p w14:paraId="4CD50D35" w14:textId="77777777" w:rsidR="00617A7A" w:rsidRDefault="00617A7A" w:rsidP="00617A7A">
      <w:pPr>
        <w:spacing w:after="0"/>
        <w:jc w:val="both"/>
        <w:rPr>
          <w:rFonts w:ascii="Arial" w:hAnsi="Arial" w:cs="Arial"/>
        </w:rPr>
      </w:pPr>
      <w:r w:rsidRPr="00617A7A">
        <w:rPr>
          <w:rFonts w:ascii="Arial" w:hAnsi="Arial" w:cs="Arial"/>
        </w:rPr>
        <w:t>Chief Executive</w:t>
      </w:r>
      <w:r>
        <w:rPr>
          <w:rFonts w:ascii="Arial" w:hAnsi="Arial" w:cs="Arial"/>
        </w:rPr>
        <w:t xml:space="preserve"> Officer</w:t>
      </w:r>
    </w:p>
    <w:p w14:paraId="246877E2" w14:textId="77777777" w:rsidR="00617A7A" w:rsidRPr="00617A7A" w:rsidRDefault="00617A7A" w:rsidP="00617A7A">
      <w:pPr>
        <w:jc w:val="both"/>
        <w:rPr>
          <w:rFonts w:ascii="Arial" w:hAnsi="Arial" w:cs="Arial"/>
          <w:color w:val="000000" w:themeColor="text1"/>
        </w:rPr>
      </w:pPr>
      <w:r w:rsidRPr="00617A7A">
        <w:rPr>
          <w:rFonts w:ascii="Arial" w:hAnsi="Arial" w:cs="Arial"/>
          <w:color w:val="000000" w:themeColor="text1"/>
        </w:rPr>
        <w:t xml:space="preserve">Gloucestershire Health and Care NHS Foundation Trust </w:t>
      </w:r>
    </w:p>
    <w:p w14:paraId="56CBD378" w14:textId="77777777" w:rsidR="00617A7A" w:rsidRPr="00617A7A" w:rsidRDefault="00617A7A" w:rsidP="00617A7A">
      <w:pPr>
        <w:jc w:val="both"/>
        <w:rPr>
          <w:rFonts w:ascii="Arial" w:hAnsi="Arial" w:cs="Arial"/>
          <w:sz w:val="24"/>
          <w:szCs w:val="24"/>
        </w:rPr>
      </w:pPr>
    </w:p>
    <w:sectPr w:rsidR="00617A7A" w:rsidRPr="00617A7A" w:rsidSect="00617A7A">
      <w:headerReference w:type="default" r:id="rId12"/>
      <w:footerReference w:type="default" r:id="rId13"/>
      <w:pgSz w:w="11906" w:h="16838"/>
      <w:pgMar w:top="1440" w:right="1440" w:bottom="1440" w:left="1440"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157E" w14:textId="77777777" w:rsidR="00617A7A" w:rsidRDefault="00617A7A" w:rsidP="00617A7A">
      <w:pPr>
        <w:spacing w:after="0" w:line="240" w:lineRule="auto"/>
      </w:pPr>
      <w:r>
        <w:separator/>
      </w:r>
    </w:p>
  </w:endnote>
  <w:endnote w:type="continuationSeparator" w:id="0">
    <w:p w14:paraId="42B2305D" w14:textId="77777777" w:rsidR="00617A7A" w:rsidRDefault="00617A7A" w:rsidP="0061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8939" w14:textId="77777777" w:rsidR="00617A7A" w:rsidRDefault="00617A7A">
    <w:pPr>
      <w:pStyle w:val="Footer"/>
    </w:pPr>
    <w:r>
      <w:rPr>
        <w:noProof/>
        <w:lang w:eastAsia="en-GB"/>
      </w:rPr>
      <w:drawing>
        <wp:inline distT="0" distB="0" distL="0" distR="0" wp14:anchorId="403FA3E4" wp14:editId="647F2BDB">
          <wp:extent cx="5731510" cy="17907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 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79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8F8A" w14:textId="77777777" w:rsidR="00617A7A" w:rsidRDefault="00617A7A" w:rsidP="00617A7A">
      <w:pPr>
        <w:spacing w:after="0" w:line="240" w:lineRule="auto"/>
      </w:pPr>
      <w:r>
        <w:separator/>
      </w:r>
    </w:p>
  </w:footnote>
  <w:footnote w:type="continuationSeparator" w:id="0">
    <w:p w14:paraId="7D64AD24" w14:textId="77777777" w:rsidR="00617A7A" w:rsidRDefault="00617A7A" w:rsidP="00617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6C0D" w14:textId="77777777" w:rsidR="00617A7A" w:rsidRDefault="00617A7A">
    <w:pPr>
      <w:pStyle w:val="Header"/>
    </w:pPr>
    <w:r>
      <w:rPr>
        <w:noProof/>
        <w:lang w:eastAsia="en-GB"/>
      </w:rPr>
      <w:drawing>
        <wp:anchor distT="0" distB="0" distL="114300" distR="114300" simplePos="0" relativeHeight="251660288" behindDoc="1" locked="0" layoutInCell="1" allowOverlap="1" wp14:anchorId="3F97835F" wp14:editId="3297A975">
          <wp:simplePos x="0" y="0"/>
          <wp:positionH relativeFrom="margin">
            <wp:align>left</wp:align>
          </wp:positionH>
          <wp:positionV relativeFrom="paragraph">
            <wp:posOffset>-106680</wp:posOffset>
          </wp:positionV>
          <wp:extent cx="1205345" cy="610985"/>
          <wp:effectExtent l="0" t="0" r="0" b="0"/>
          <wp:wrapTight wrapText="bothSides">
            <wp:wrapPolygon edited="0">
              <wp:start x="0" y="0"/>
              <wp:lineTo x="0" y="20881"/>
              <wp:lineTo x="21168" y="20881"/>
              <wp:lineTo x="211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st Logo 1.jpg"/>
                  <pic:cNvPicPr/>
                </pic:nvPicPr>
                <pic:blipFill>
                  <a:blip r:embed="rId1">
                    <a:extLst>
                      <a:ext uri="{28A0092B-C50C-407E-A947-70E740481C1C}">
                        <a14:useLocalDpi xmlns:a14="http://schemas.microsoft.com/office/drawing/2010/main" val="0"/>
                      </a:ext>
                    </a:extLst>
                  </a:blip>
                  <a:stretch>
                    <a:fillRect/>
                  </a:stretch>
                </pic:blipFill>
                <pic:spPr>
                  <a:xfrm>
                    <a:off x="0" y="0"/>
                    <a:ext cx="1205345" cy="610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F4CAE17" wp14:editId="3BBF9839">
          <wp:simplePos x="0" y="0"/>
          <wp:positionH relativeFrom="margin">
            <wp:align>right</wp:align>
          </wp:positionH>
          <wp:positionV relativeFrom="paragraph">
            <wp:posOffset>-172085</wp:posOffset>
          </wp:positionV>
          <wp:extent cx="2889250" cy="660400"/>
          <wp:effectExtent l="0" t="0" r="6350" b="6350"/>
          <wp:wrapTight wrapText="bothSides">
            <wp:wrapPolygon edited="0">
              <wp:start x="16093" y="0"/>
              <wp:lineTo x="10966" y="9969"/>
              <wp:lineTo x="0" y="10592"/>
              <wp:lineTo x="0" y="16823"/>
              <wp:lineTo x="10966" y="19938"/>
              <wp:lineTo x="10966" y="21185"/>
              <wp:lineTo x="21505" y="21185"/>
              <wp:lineTo x="21505" y="0"/>
              <wp:lineTo x="1609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2889250" cy="660400"/>
                  </a:xfrm>
                  <a:prstGeom prst="rect">
                    <a:avLst/>
                  </a:prstGeom>
                </pic:spPr>
              </pic:pic>
            </a:graphicData>
          </a:graphic>
          <wp14:sizeRelH relativeFrom="page">
            <wp14:pctWidth>0</wp14:pctWidth>
          </wp14:sizeRelH>
          <wp14:sizeRelV relativeFrom="page">
            <wp14:pctHeight>0</wp14:pctHeight>
          </wp14:sizeRelV>
        </wp:anchor>
      </w:drawing>
    </w:r>
  </w:p>
  <w:p w14:paraId="0C24EF04" w14:textId="77777777" w:rsidR="00617A7A" w:rsidRDefault="00617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7A"/>
    <w:rsid w:val="00023444"/>
    <w:rsid w:val="00240F57"/>
    <w:rsid w:val="00617A7A"/>
    <w:rsid w:val="006C16C3"/>
    <w:rsid w:val="0075350F"/>
    <w:rsid w:val="007D553A"/>
    <w:rsid w:val="007E6F53"/>
    <w:rsid w:val="00E34016"/>
    <w:rsid w:val="00EF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5E35"/>
  <w15:chartTrackingRefBased/>
  <w15:docId w15:val="{50B4BAC4-BEE4-4BD7-9F66-F9EC6B1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A7A"/>
  </w:style>
  <w:style w:type="paragraph" w:styleId="Footer">
    <w:name w:val="footer"/>
    <w:basedOn w:val="Normal"/>
    <w:link w:val="FooterChar"/>
    <w:uiPriority w:val="99"/>
    <w:unhideWhenUsed/>
    <w:rsid w:val="00617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A7A"/>
  </w:style>
  <w:style w:type="character" w:styleId="Hyperlink">
    <w:name w:val="Hyperlink"/>
    <w:basedOn w:val="DefaultParagraphFont"/>
    <w:uiPriority w:val="99"/>
    <w:unhideWhenUsed/>
    <w:rsid w:val="00617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c.nhs.uk/counter-frau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hc.nhs.uk/wp-content/uploads/RATFIEDManagingConflictsofInterestPolicyNovember2017.doc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hc.nhs.uk/wp-content/uploads/2023/04/Counter-Fraud-Bribery-and-Corruption-Policy-February-2023.docx" TargetMode="External"/><Relationship Id="rId11" Type="http://schemas.openxmlformats.org/officeDocument/2006/relationships/hyperlink" Target="mailto:leesheridan@nhs.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ust.Secretary@ghc.nhs.uk" TargetMode="External"/><Relationship Id="rId4" Type="http://schemas.openxmlformats.org/officeDocument/2006/relationships/footnotes" Target="footnotes.xml"/><Relationship Id="rId9" Type="http://schemas.openxmlformats.org/officeDocument/2006/relationships/hyperlink" Target="https://ghc.nhs.uk/board-and-governors/meet-our-boa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Anti-bribery and corruption statement</vt:lpstr>
      <vt:lpstr/>
    </vt:vector>
  </TitlesOfParts>
  <Company>Gloucestershire Health and Care NHS FT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Lumley Karen</dc:creator>
  <cp:keywords/>
  <dc:description/>
  <cp:lastModifiedBy>Pellatt Mandy</cp:lastModifiedBy>
  <cp:revision>3</cp:revision>
  <dcterms:created xsi:type="dcterms:W3CDTF">2023-04-17T15:10:00Z</dcterms:created>
  <dcterms:modified xsi:type="dcterms:W3CDTF">2023-04-26T03:46:00Z</dcterms:modified>
</cp:coreProperties>
</file>